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A62F1" w14:textId="77777777" w:rsidR="004E5CD3" w:rsidRDefault="004E5CD3" w:rsidP="00EC19DE">
      <w:pPr>
        <w:spacing w:after="0" w:line="240" w:lineRule="auto"/>
      </w:pPr>
    </w:p>
    <w:p w14:paraId="0F42355B" w14:textId="0A8B3F96" w:rsidR="00EC19DE" w:rsidRPr="00BA6670" w:rsidRDefault="008F0FD1" w:rsidP="00EC19DE">
      <w:pPr>
        <w:spacing w:after="0" w:line="240" w:lineRule="auto"/>
        <w:rPr>
          <w:rFonts w:ascii="Tahoma" w:hAnsi="Tahoma" w:cs="Tahoma"/>
          <w:sz w:val="32"/>
          <w:szCs w:val="32"/>
        </w:rPr>
      </w:pPr>
      <w:r>
        <w:rPr>
          <w:rFonts w:ascii="Tahoma" w:hAnsi="Tahoma" w:cs="Tahoma"/>
          <w:b/>
          <w:bCs/>
          <w:color w:val="0070C0"/>
          <w:sz w:val="32"/>
          <w:szCs w:val="32"/>
        </w:rPr>
        <w:t xml:space="preserve">6to </w:t>
      </w:r>
      <w:r w:rsidRPr="00CE4242">
        <w:rPr>
          <w:rFonts w:ascii="Tahoma" w:hAnsi="Tahoma" w:cs="Tahoma"/>
          <w:b/>
          <w:bCs/>
          <w:color w:val="0070C0"/>
          <w:sz w:val="32"/>
          <w:szCs w:val="32"/>
        </w:rPr>
        <w:t>Grado</w:t>
      </w:r>
      <w:r>
        <w:rPr>
          <w:rFonts w:ascii="Tahoma" w:hAnsi="Tahoma" w:cs="Tahoma"/>
          <w:b/>
          <w:bCs/>
          <w:color w:val="0070C0"/>
          <w:sz w:val="32"/>
          <w:szCs w:val="32"/>
        </w:rPr>
        <w:t xml:space="preserve"> - </w:t>
      </w:r>
      <w:r w:rsidR="00E70D7F">
        <w:rPr>
          <w:rFonts w:ascii="Tahoma" w:hAnsi="Tahoma" w:cs="Tahoma"/>
          <w:b/>
          <w:bCs/>
          <w:color w:val="0070C0"/>
          <w:sz w:val="32"/>
          <w:szCs w:val="32"/>
        </w:rPr>
        <w:t>OCTU</w:t>
      </w:r>
      <w:r w:rsidR="00EC19DE">
        <w:rPr>
          <w:rFonts w:ascii="Tahoma" w:hAnsi="Tahoma" w:cs="Tahoma"/>
          <w:b/>
          <w:bCs/>
          <w:color w:val="0070C0"/>
          <w:sz w:val="32"/>
          <w:szCs w:val="32"/>
        </w:rPr>
        <w:t>BRE</w:t>
      </w:r>
    </w:p>
    <w:p w14:paraId="7A05A05F" w14:textId="77777777" w:rsidR="00EC19DE" w:rsidRPr="00066322" w:rsidRDefault="00EC19DE" w:rsidP="00EC19DE">
      <w:pPr>
        <w:spacing w:after="0" w:line="240" w:lineRule="auto"/>
        <w:rPr>
          <w:rFonts w:ascii="Tahoma" w:hAnsi="Tahoma" w:cs="Tahoma"/>
          <w:sz w:val="20"/>
          <w:szCs w:val="20"/>
        </w:rPr>
      </w:pPr>
    </w:p>
    <w:tbl>
      <w:tblPr>
        <w:tblStyle w:val="Tablaconcuadrcula"/>
        <w:tblW w:w="4986" w:type="pct"/>
        <w:tblLook w:val="04A0" w:firstRow="1" w:lastRow="0" w:firstColumn="1" w:lastColumn="0" w:noHBand="0" w:noVBand="1"/>
      </w:tblPr>
      <w:tblGrid>
        <w:gridCol w:w="1048"/>
        <w:gridCol w:w="2835"/>
        <w:gridCol w:w="7937"/>
        <w:gridCol w:w="2268"/>
      </w:tblGrid>
      <w:tr w:rsidR="008F0FD1" w:rsidRPr="005B0E01" w14:paraId="1712B1E0" w14:textId="26BAAEF5" w:rsidTr="008F0FD1">
        <w:tc>
          <w:tcPr>
            <w:tcW w:w="1048" w:type="dxa"/>
            <w:shd w:val="clear" w:color="auto" w:fill="BDD6EE" w:themeFill="accent5" w:themeFillTint="66"/>
            <w:vAlign w:val="center"/>
          </w:tcPr>
          <w:p w14:paraId="44E6652E" w14:textId="451D0706" w:rsidR="008F0FD1" w:rsidRPr="0028566B" w:rsidRDefault="008F0FD1" w:rsidP="00EC19DE">
            <w:pPr>
              <w:jc w:val="center"/>
              <w:rPr>
                <w:rFonts w:ascii="Tahoma" w:hAnsi="Tahoma" w:cs="Tahoma"/>
                <w:b/>
                <w:bCs/>
                <w:sz w:val="24"/>
                <w:szCs w:val="24"/>
              </w:rPr>
            </w:pPr>
            <w:r>
              <w:rPr>
                <w:rFonts w:ascii="Tahoma" w:hAnsi="Tahoma" w:cs="Tahoma"/>
                <w:b/>
                <w:bCs/>
                <w:sz w:val="24"/>
                <w:szCs w:val="24"/>
              </w:rPr>
              <w:t>Campo</w:t>
            </w:r>
          </w:p>
        </w:tc>
        <w:tc>
          <w:tcPr>
            <w:tcW w:w="2835" w:type="dxa"/>
            <w:shd w:val="clear" w:color="auto" w:fill="BDD6EE" w:themeFill="accent5" w:themeFillTint="66"/>
            <w:vAlign w:val="center"/>
          </w:tcPr>
          <w:p w14:paraId="55C47B8A" w14:textId="77777777" w:rsidR="008F0FD1" w:rsidRPr="005B0E01" w:rsidRDefault="008F0FD1" w:rsidP="00EC19DE">
            <w:pPr>
              <w:jc w:val="center"/>
              <w:rPr>
                <w:rFonts w:ascii="Tahoma" w:hAnsi="Tahoma" w:cs="Tahoma"/>
                <w:b/>
                <w:bCs/>
                <w:sz w:val="24"/>
                <w:szCs w:val="24"/>
              </w:rPr>
            </w:pPr>
            <w:r w:rsidRPr="005B0E01">
              <w:rPr>
                <w:rFonts w:ascii="Tahoma" w:hAnsi="Tahoma" w:cs="Tahoma"/>
                <w:b/>
                <w:bCs/>
                <w:sz w:val="24"/>
                <w:szCs w:val="24"/>
              </w:rPr>
              <w:t>Contenido</w:t>
            </w:r>
          </w:p>
        </w:tc>
        <w:tc>
          <w:tcPr>
            <w:tcW w:w="7937" w:type="dxa"/>
            <w:shd w:val="clear" w:color="auto" w:fill="BDD6EE" w:themeFill="accent5" w:themeFillTint="66"/>
            <w:vAlign w:val="center"/>
          </w:tcPr>
          <w:p w14:paraId="6DC43133" w14:textId="77777777" w:rsidR="008F0FD1" w:rsidRPr="005B0E01" w:rsidRDefault="008F0FD1" w:rsidP="00EC19DE">
            <w:pPr>
              <w:jc w:val="center"/>
              <w:rPr>
                <w:rFonts w:ascii="Tahoma" w:hAnsi="Tahoma" w:cs="Tahoma"/>
                <w:b/>
                <w:bCs/>
                <w:sz w:val="24"/>
                <w:szCs w:val="24"/>
              </w:rPr>
            </w:pPr>
            <w:r w:rsidRPr="005B0E01">
              <w:rPr>
                <w:rFonts w:ascii="Tahoma" w:hAnsi="Tahoma" w:cs="Tahoma"/>
                <w:b/>
                <w:bCs/>
                <w:sz w:val="24"/>
                <w:szCs w:val="24"/>
              </w:rPr>
              <w:t>PDA</w:t>
            </w:r>
          </w:p>
          <w:p w14:paraId="1AA06A17" w14:textId="370541C4" w:rsidR="008F0FD1" w:rsidRPr="005B0E01" w:rsidRDefault="00F40099" w:rsidP="00EC19DE">
            <w:pPr>
              <w:jc w:val="center"/>
              <w:rPr>
                <w:rFonts w:ascii="Tahoma" w:hAnsi="Tahoma" w:cs="Tahoma"/>
                <w:b/>
                <w:bCs/>
                <w:sz w:val="24"/>
                <w:szCs w:val="24"/>
              </w:rPr>
            </w:pPr>
            <w:r>
              <w:rPr>
                <w:rFonts w:ascii="Tahoma" w:hAnsi="Tahoma" w:cs="Tahoma"/>
                <w:b/>
                <w:bCs/>
                <w:sz w:val="24"/>
                <w:szCs w:val="24"/>
              </w:rPr>
              <w:t>Sexto</w:t>
            </w:r>
            <w:r w:rsidR="008F0FD1" w:rsidRPr="005B0E01">
              <w:rPr>
                <w:rFonts w:ascii="Tahoma" w:hAnsi="Tahoma" w:cs="Tahoma"/>
                <w:b/>
                <w:bCs/>
                <w:sz w:val="24"/>
                <w:szCs w:val="24"/>
              </w:rPr>
              <w:t xml:space="preserve"> Grado</w:t>
            </w:r>
          </w:p>
        </w:tc>
        <w:tc>
          <w:tcPr>
            <w:tcW w:w="2268" w:type="dxa"/>
            <w:shd w:val="clear" w:color="auto" w:fill="BDD6EE" w:themeFill="accent5" w:themeFillTint="66"/>
            <w:vAlign w:val="center"/>
          </w:tcPr>
          <w:p w14:paraId="62D6B4B6" w14:textId="2FF912B9" w:rsidR="008F0FD1" w:rsidRPr="005B0E01" w:rsidRDefault="008F0FD1" w:rsidP="008F0FD1">
            <w:pPr>
              <w:jc w:val="center"/>
              <w:rPr>
                <w:rFonts w:ascii="Tahoma" w:hAnsi="Tahoma" w:cs="Tahoma"/>
                <w:b/>
                <w:bCs/>
                <w:sz w:val="24"/>
                <w:szCs w:val="24"/>
              </w:rPr>
            </w:pPr>
            <w:r>
              <w:rPr>
                <w:rFonts w:ascii="Tahoma" w:hAnsi="Tahoma" w:cs="Tahoma"/>
                <w:b/>
                <w:bCs/>
                <w:sz w:val="24"/>
                <w:szCs w:val="24"/>
              </w:rPr>
              <w:t>Secuencia</w:t>
            </w:r>
          </w:p>
        </w:tc>
      </w:tr>
      <w:tr w:rsidR="00ED6FBD" w:rsidRPr="005B0E01" w14:paraId="3B1C35B9" w14:textId="77777777" w:rsidTr="00F40099">
        <w:tc>
          <w:tcPr>
            <w:tcW w:w="1048" w:type="dxa"/>
            <w:vMerge w:val="restart"/>
            <w:textDirection w:val="btLr"/>
            <w:vAlign w:val="center"/>
          </w:tcPr>
          <w:p w14:paraId="1DF4B3B6" w14:textId="1E7E1ECE" w:rsidR="00ED6FBD" w:rsidRDefault="00ED6FBD" w:rsidP="00ED6FBD">
            <w:pPr>
              <w:ind w:left="113" w:right="113"/>
              <w:jc w:val="center"/>
              <w:rPr>
                <w:rFonts w:ascii="Tahoma" w:hAnsi="Tahoma" w:cs="Tahoma"/>
                <w:b/>
                <w:bCs/>
                <w:sz w:val="24"/>
                <w:szCs w:val="24"/>
              </w:rPr>
            </w:pPr>
            <w:r>
              <w:rPr>
                <w:rFonts w:ascii="Tahoma" w:hAnsi="Tahoma" w:cs="Tahoma"/>
                <w:b/>
                <w:bCs/>
                <w:sz w:val="24"/>
                <w:szCs w:val="24"/>
              </w:rPr>
              <w:t>Lenguajes</w:t>
            </w:r>
          </w:p>
        </w:tc>
        <w:tc>
          <w:tcPr>
            <w:tcW w:w="2835" w:type="dxa"/>
            <w:vAlign w:val="center"/>
          </w:tcPr>
          <w:p w14:paraId="4F9F14F9" w14:textId="2ABD5BE7" w:rsidR="00ED6FBD" w:rsidRPr="00F40099" w:rsidRDefault="00ED6FBD" w:rsidP="00ED6FBD">
            <w:pPr>
              <w:rPr>
                <w:rFonts w:ascii="Tahoma" w:hAnsi="Tahoma" w:cs="Tahoma"/>
                <w:b/>
                <w:bCs/>
                <w:sz w:val="20"/>
                <w:szCs w:val="20"/>
              </w:rPr>
            </w:pPr>
            <w:r w:rsidRPr="008E5822">
              <w:rPr>
                <w:rFonts w:ascii="Tahoma" w:hAnsi="Tahoma" w:cs="Tahoma"/>
                <w:sz w:val="20"/>
                <w:szCs w:val="20"/>
              </w:rPr>
              <w:t>Narración de sucesos autobiográficos.</w:t>
            </w:r>
          </w:p>
        </w:tc>
        <w:tc>
          <w:tcPr>
            <w:tcW w:w="7937" w:type="dxa"/>
            <w:vAlign w:val="center"/>
          </w:tcPr>
          <w:p w14:paraId="3D7B6CAF" w14:textId="77777777" w:rsidR="00ED6FBD" w:rsidRPr="008E5822" w:rsidRDefault="00ED6FBD" w:rsidP="00ED6FBD">
            <w:pPr>
              <w:jc w:val="both"/>
              <w:rPr>
                <w:rFonts w:ascii="Tahoma" w:hAnsi="Tahoma" w:cs="Tahoma"/>
                <w:sz w:val="20"/>
                <w:szCs w:val="20"/>
              </w:rPr>
            </w:pPr>
            <w:r w:rsidRPr="008E5822">
              <w:rPr>
                <w:rFonts w:ascii="Tahoma" w:hAnsi="Tahoma" w:cs="Tahoma"/>
                <w:sz w:val="20"/>
                <w:szCs w:val="20"/>
              </w:rPr>
              <w:t>Lee textos autobiográficos e identifica las relaciones temporales de secuencia, simultaneidad y duración.</w:t>
            </w:r>
          </w:p>
          <w:p w14:paraId="43053F27" w14:textId="77777777" w:rsidR="00ED6FBD" w:rsidRPr="008E5822" w:rsidRDefault="00ED6FBD" w:rsidP="00ED6FBD">
            <w:pPr>
              <w:jc w:val="both"/>
              <w:rPr>
                <w:rFonts w:ascii="Tahoma" w:hAnsi="Tahoma" w:cs="Tahoma"/>
                <w:sz w:val="20"/>
                <w:szCs w:val="20"/>
              </w:rPr>
            </w:pPr>
            <w:r w:rsidRPr="008E5822">
              <w:rPr>
                <w:rFonts w:ascii="Tahoma" w:hAnsi="Tahoma" w:cs="Tahoma"/>
                <w:sz w:val="20"/>
                <w:szCs w:val="20"/>
              </w:rPr>
              <w:t>Analiza distintos sucesos de su vida para elegir los más significativos y organizarlos de manera coherente en una narración.</w:t>
            </w:r>
          </w:p>
          <w:p w14:paraId="3B54A33E" w14:textId="77777777" w:rsidR="00ED6FBD" w:rsidRPr="008E5822" w:rsidRDefault="00ED6FBD" w:rsidP="00ED6FBD">
            <w:pPr>
              <w:jc w:val="both"/>
              <w:rPr>
                <w:rFonts w:ascii="Tahoma" w:hAnsi="Tahoma" w:cs="Tahoma"/>
                <w:sz w:val="20"/>
                <w:szCs w:val="20"/>
              </w:rPr>
            </w:pPr>
            <w:r w:rsidRPr="008E5822">
              <w:rPr>
                <w:rFonts w:ascii="Tahoma" w:hAnsi="Tahoma" w:cs="Tahoma"/>
                <w:sz w:val="20"/>
                <w:szCs w:val="20"/>
              </w:rPr>
              <w:t>Determina al destinatario y la forma en que desea narrar sucesos autobiográficos significativos, para causar efectos particulares.</w:t>
            </w:r>
          </w:p>
          <w:p w14:paraId="390766D4" w14:textId="77777777" w:rsidR="00ED6FBD" w:rsidRPr="008E5822" w:rsidRDefault="00ED6FBD" w:rsidP="00ED6FBD">
            <w:pPr>
              <w:jc w:val="both"/>
              <w:rPr>
                <w:rFonts w:ascii="Tahoma" w:hAnsi="Tahoma" w:cs="Tahoma"/>
                <w:sz w:val="20"/>
                <w:szCs w:val="20"/>
              </w:rPr>
            </w:pPr>
            <w:r w:rsidRPr="008E5822">
              <w:rPr>
                <w:rFonts w:ascii="Tahoma" w:hAnsi="Tahoma" w:cs="Tahoma"/>
                <w:sz w:val="20"/>
                <w:szCs w:val="20"/>
              </w:rPr>
              <w:t>Usa reflexivamente adverbios, frases adverbiales y nexos temporales, para indicar secuencia, simultaneidad y duración en los sucesos narrados.</w:t>
            </w:r>
          </w:p>
          <w:p w14:paraId="24F475B7" w14:textId="6C009CAB" w:rsidR="00ED6FBD" w:rsidRPr="00F40099" w:rsidRDefault="00ED6FBD" w:rsidP="00ED6FBD">
            <w:pPr>
              <w:rPr>
                <w:rFonts w:ascii="Tahoma" w:hAnsi="Tahoma" w:cs="Tahoma"/>
                <w:b/>
                <w:bCs/>
                <w:sz w:val="20"/>
                <w:szCs w:val="20"/>
              </w:rPr>
            </w:pPr>
            <w:r w:rsidRPr="008E5822">
              <w:rPr>
                <w:rFonts w:ascii="Tahoma" w:hAnsi="Tahoma" w:cs="Tahoma"/>
                <w:sz w:val="20"/>
                <w:szCs w:val="20"/>
              </w:rPr>
              <w:t>Colabora en la edición de un libro de textos autobiográficos, y sugiere formas de reproducirlo para que cada alumna y alumno tenga el suyo.</w:t>
            </w:r>
          </w:p>
        </w:tc>
        <w:tc>
          <w:tcPr>
            <w:tcW w:w="2268" w:type="dxa"/>
            <w:vAlign w:val="center"/>
          </w:tcPr>
          <w:p w14:paraId="5154BE7A" w14:textId="54F59B97" w:rsidR="00ED6FBD" w:rsidRPr="00ED6FBD" w:rsidRDefault="00ED6FBD" w:rsidP="00ED6FBD">
            <w:pPr>
              <w:jc w:val="center"/>
              <w:rPr>
                <w:rFonts w:ascii="Tahoma" w:hAnsi="Tahoma" w:cs="Tahoma"/>
                <w:b/>
                <w:bCs/>
                <w:sz w:val="20"/>
                <w:szCs w:val="20"/>
              </w:rPr>
            </w:pPr>
            <w:r w:rsidRPr="00ED6FBD">
              <w:rPr>
                <w:rFonts w:ascii="Tahoma" w:hAnsi="Tahoma" w:cs="Tahoma"/>
                <w:b/>
                <w:bCs/>
                <w:sz w:val="20"/>
                <w:szCs w:val="20"/>
              </w:rPr>
              <w:t xml:space="preserve">Secuencia 1. </w:t>
            </w:r>
            <w:r w:rsidRPr="00ED6FBD">
              <w:rPr>
                <w:rFonts w:ascii="Tahoma" w:hAnsi="Tahoma" w:cs="Tahoma"/>
                <w:sz w:val="20"/>
                <w:szCs w:val="20"/>
              </w:rPr>
              <w:t>Nuestra vida en palabras: Un viaje temporal por mis recuerdos y sueños</w:t>
            </w:r>
          </w:p>
        </w:tc>
      </w:tr>
      <w:tr w:rsidR="00ED6FBD" w:rsidRPr="005B0E01" w14:paraId="16A0DABF" w14:textId="77777777" w:rsidTr="00F40099">
        <w:tc>
          <w:tcPr>
            <w:tcW w:w="1048" w:type="dxa"/>
            <w:vMerge/>
            <w:vAlign w:val="center"/>
          </w:tcPr>
          <w:p w14:paraId="29168D07" w14:textId="77777777" w:rsidR="00ED6FBD" w:rsidRDefault="00ED6FBD" w:rsidP="00ED6FBD">
            <w:pPr>
              <w:rPr>
                <w:rFonts w:ascii="Tahoma" w:hAnsi="Tahoma" w:cs="Tahoma"/>
                <w:b/>
                <w:bCs/>
                <w:sz w:val="24"/>
                <w:szCs w:val="24"/>
              </w:rPr>
            </w:pPr>
          </w:p>
        </w:tc>
        <w:tc>
          <w:tcPr>
            <w:tcW w:w="2835" w:type="dxa"/>
            <w:vAlign w:val="center"/>
          </w:tcPr>
          <w:p w14:paraId="612D2034" w14:textId="1E88C469" w:rsidR="00ED6FBD" w:rsidRPr="00F40099" w:rsidRDefault="00ED6FBD" w:rsidP="00ED6FBD">
            <w:pPr>
              <w:rPr>
                <w:rFonts w:ascii="Tahoma" w:hAnsi="Tahoma" w:cs="Tahoma"/>
                <w:b/>
                <w:bCs/>
                <w:sz w:val="20"/>
                <w:szCs w:val="20"/>
              </w:rPr>
            </w:pPr>
            <w:r w:rsidRPr="008E5822">
              <w:rPr>
                <w:rFonts w:ascii="Tahoma" w:hAnsi="Tahoma" w:cs="Tahoma"/>
                <w:sz w:val="20"/>
                <w:szCs w:val="20"/>
              </w:rPr>
              <w:t>Comprensión y producción de textos discontinuos, para organizar y presentar información.</w:t>
            </w:r>
          </w:p>
        </w:tc>
        <w:tc>
          <w:tcPr>
            <w:tcW w:w="7937" w:type="dxa"/>
            <w:vAlign w:val="center"/>
          </w:tcPr>
          <w:p w14:paraId="7FE3C3B0" w14:textId="77777777" w:rsidR="00ED6FBD" w:rsidRPr="008E5822" w:rsidRDefault="00ED6FBD" w:rsidP="00ED6FBD">
            <w:pPr>
              <w:jc w:val="both"/>
              <w:rPr>
                <w:rFonts w:ascii="Tahoma" w:hAnsi="Tahoma" w:cs="Tahoma"/>
                <w:sz w:val="20"/>
                <w:szCs w:val="20"/>
              </w:rPr>
            </w:pPr>
            <w:r w:rsidRPr="008E5822">
              <w:rPr>
                <w:rFonts w:ascii="Tahoma" w:hAnsi="Tahoma" w:cs="Tahoma"/>
                <w:sz w:val="20"/>
                <w:szCs w:val="20"/>
              </w:rPr>
              <w:t>Reconoce, mediante el análisis, las características y funciones de los textos discontinuos, en particular de gráficas, cuadros sinópticos y mapas conceptuales.</w:t>
            </w:r>
          </w:p>
          <w:p w14:paraId="5FD72515" w14:textId="77777777" w:rsidR="00ED6FBD" w:rsidRPr="008E5822" w:rsidRDefault="00ED6FBD" w:rsidP="00ED6FBD">
            <w:pPr>
              <w:jc w:val="both"/>
              <w:rPr>
                <w:rFonts w:ascii="Tahoma" w:hAnsi="Tahoma" w:cs="Tahoma"/>
                <w:sz w:val="20"/>
                <w:szCs w:val="20"/>
              </w:rPr>
            </w:pPr>
            <w:r w:rsidRPr="008E5822">
              <w:rPr>
                <w:rFonts w:ascii="Tahoma" w:hAnsi="Tahoma" w:cs="Tahoma"/>
                <w:sz w:val="20"/>
                <w:szCs w:val="20"/>
              </w:rPr>
              <w:t>Reflexiona sobre las posibilidades de los textos discontinuos para organizar la información que expone a otras personas.</w:t>
            </w:r>
          </w:p>
          <w:p w14:paraId="5BB67111" w14:textId="77777777" w:rsidR="00ED6FBD" w:rsidRPr="008E5822" w:rsidRDefault="00ED6FBD" w:rsidP="00ED6FBD">
            <w:pPr>
              <w:jc w:val="both"/>
              <w:rPr>
                <w:rFonts w:ascii="Tahoma" w:hAnsi="Tahoma" w:cs="Tahoma"/>
                <w:sz w:val="20"/>
                <w:szCs w:val="20"/>
              </w:rPr>
            </w:pPr>
            <w:r w:rsidRPr="008E5822">
              <w:rPr>
                <w:rFonts w:ascii="Tahoma" w:hAnsi="Tahoma" w:cs="Tahoma"/>
                <w:sz w:val="20"/>
                <w:szCs w:val="20"/>
              </w:rPr>
              <w:t>Sintetiza información, sin perder el significado original, para organizarla y presentarla por medio de textos discontinuos.</w:t>
            </w:r>
          </w:p>
          <w:p w14:paraId="1B3962DA" w14:textId="011C7C3C" w:rsidR="00ED6FBD" w:rsidRPr="00F40099" w:rsidRDefault="00ED6FBD" w:rsidP="00ED6FBD">
            <w:pPr>
              <w:rPr>
                <w:rFonts w:ascii="Tahoma" w:hAnsi="Tahoma" w:cs="Tahoma"/>
                <w:b/>
                <w:bCs/>
                <w:sz w:val="20"/>
                <w:szCs w:val="20"/>
              </w:rPr>
            </w:pPr>
            <w:r w:rsidRPr="008E5822">
              <w:rPr>
                <w:rFonts w:ascii="Tahoma" w:hAnsi="Tahoma" w:cs="Tahoma"/>
                <w:sz w:val="20"/>
                <w:szCs w:val="20"/>
              </w:rPr>
              <w:t>Produce textos discontinuos, considerando al destinatario y empleando elementos gráficos útiles para organizar y presentar información, como tipografía, viñetas, espacios de la página, interlineado, signos de puntuación, mayúsculas y minúsculas.</w:t>
            </w:r>
          </w:p>
        </w:tc>
        <w:tc>
          <w:tcPr>
            <w:tcW w:w="2268" w:type="dxa"/>
            <w:vAlign w:val="center"/>
          </w:tcPr>
          <w:p w14:paraId="50BC627C" w14:textId="15E5AF92" w:rsidR="00ED6FBD" w:rsidRPr="00ED6FBD" w:rsidRDefault="00ED6FBD" w:rsidP="00ED6FBD">
            <w:pPr>
              <w:jc w:val="center"/>
              <w:rPr>
                <w:rFonts w:ascii="Tahoma" w:hAnsi="Tahoma" w:cs="Tahoma"/>
                <w:b/>
                <w:bCs/>
                <w:sz w:val="20"/>
                <w:szCs w:val="20"/>
              </w:rPr>
            </w:pPr>
            <w:r w:rsidRPr="00ED6FBD">
              <w:rPr>
                <w:rFonts w:ascii="Tahoma" w:hAnsi="Tahoma" w:cs="Tahoma"/>
                <w:b/>
                <w:bCs/>
                <w:sz w:val="20"/>
                <w:szCs w:val="20"/>
              </w:rPr>
              <w:t xml:space="preserve">Secuencia 2. </w:t>
            </w:r>
            <w:r w:rsidRPr="00ED6FBD">
              <w:rPr>
                <w:rFonts w:ascii="Tahoma" w:hAnsi="Tahoma" w:cs="Tahoma"/>
                <w:sz w:val="20"/>
                <w:szCs w:val="20"/>
              </w:rPr>
              <w:t>Diseñando la igualdad: Textos discontinuos para transformar nuestra comunidad</w:t>
            </w:r>
          </w:p>
          <w:p w14:paraId="0392179F" w14:textId="3247EA8F" w:rsidR="00ED6FBD" w:rsidRPr="00ED6FBD" w:rsidRDefault="00ED6FBD" w:rsidP="00ED6FBD">
            <w:pPr>
              <w:jc w:val="center"/>
              <w:rPr>
                <w:rFonts w:ascii="Tahoma" w:hAnsi="Tahoma" w:cs="Tahoma"/>
                <w:b/>
                <w:bCs/>
                <w:sz w:val="20"/>
                <w:szCs w:val="20"/>
              </w:rPr>
            </w:pPr>
          </w:p>
        </w:tc>
      </w:tr>
      <w:tr w:rsidR="00ED6FBD" w:rsidRPr="005B0E01" w14:paraId="2F085352" w14:textId="77777777" w:rsidTr="00F40099">
        <w:trPr>
          <w:cantSplit/>
          <w:trHeight w:val="1134"/>
        </w:trPr>
        <w:tc>
          <w:tcPr>
            <w:tcW w:w="1048" w:type="dxa"/>
            <w:textDirection w:val="btLr"/>
            <w:vAlign w:val="center"/>
          </w:tcPr>
          <w:p w14:paraId="70F610D5" w14:textId="1AF5B4F6" w:rsidR="00ED6FBD" w:rsidRDefault="00ED6FBD" w:rsidP="00ED6FBD">
            <w:pPr>
              <w:ind w:left="113" w:right="113"/>
              <w:jc w:val="center"/>
              <w:rPr>
                <w:rFonts w:ascii="Tahoma" w:hAnsi="Tahoma" w:cs="Tahoma"/>
                <w:b/>
                <w:bCs/>
                <w:sz w:val="24"/>
                <w:szCs w:val="24"/>
              </w:rPr>
            </w:pPr>
            <w:r>
              <w:rPr>
                <w:rFonts w:ascii="Tahoma" w:hAnsi="Tahoma" w:cs="Tahoma"/>
                <w:b/>
                <w:bCs/>
                <w:sz w:val="24"/>
                <w:szCs w:val="24"/>
              </w:rPr>
              <w:t>Saberes y pensamiento científico</w:t>
            </w:r>
          </w:p>
        </w:tc>
        <w:tc>
          <w:tcPr>
            <w:tcW w:w="2835" w:type="dxa"/>
            <w:vAlign w:val="center"/>
          </w:tcPr>
          <w:p w14:paraId="2AF0B7C3" w14:textId="05EFEC8C" w:rsidR="00ED6FBD" w:rsidRPr="00F40099" w:rsidRDefault="00ED6FBD" w:rsidP="00ED6FBD">
            <w:pPr>
              <w:rPr>
                <w:rFonts w:ascii="Tahoma" w:hAnsi="Tahoma" w:cs="Tahoma"/>
                <w:b/>
                <w:bCs/>
                <w:sz w:val="20"/>
                <w:szCs w:val="20"/>
              </w:rPr>
            </w:pPr>
            <w:r w:rsidRPr="008E5822">
              <w:rPr>
                <w:rFonts w:ascii="Tahoma" w:hAnsi="Tahoma" w:cs="Tahoma"/>
                <w:sz w:val="20"/>
                <w:szCs w:val="20"/>
              </w:rPr>
              <w:t>Etapas del desarrollo humano: proceso de reproducción y prevención de infecciones de transmisión sexual (ITS) y embarazos en adolescentes, en el marco de la salud sexual y reproductiva.</w:t>
            </w:r>
          </w:p>
        </w:tc>
        <w:tc>
          <w:tcPr>
            <w:tcW w:w="7937" w:type="dxa"/>
            <w:vAlign w:val="center"/>
          </w:tcPr>
          <w:p w14:paraId="60527486" w14:textId="77777777" w:rsidR="00ED6FBD" w:rsidRPr="008E5822" w:rsidRDefault="00ED6FBD" w:rsidP="00ED6FBD">
            <w:pPr>
              <w:jc w:val="both"/>
              <w:rPr>
                <w:rFonts w:ascii="Tahoma" w:hAnsi="Tahoma" w:cs="Tahoma"/>
                <w:sz w:val="20"/>
                <w:szCs w:val="20"/>
              </w:rPr>
            </w:pPr>
            <w:r w:rsidRPr="008E5822">
              <w:rPr>
                <w:rFonts w:ascii="Tahoma" w:hAnsi="Tahoma" w:cs="Tahoma"/>
                <w:sz w:val="20"/>
                <w:szCs w:val="20"/>
              </w:rPr>
              <w:t>Analiza y argumenta las implicaciones y riesgos del embarazo a temprana edad o en adolescentes, y las consecuencias en los ámbitos de salud, personal, familiar, educativo, social y económico.</w:t>
            </w:r>
          </w:p>
          <w:p w14:paraId="564D2553" w14:textId="77777777" w:rsidR="00ED6FBD" w:rsidRPr="008E5822" w:rsidRDefault="00ED6FBD" w:rsidP="00ED6FBD">
            <w:pPr>
              <w:jc w:val="both"/>
              <w:rPr>
                <w:rFonts w:ascii="Tahoma" w:hAnsi="Tahoma" w:cs="Tahoma"/>
                <w:sz w:val="20"/>
                <w:szCs w:val="20"/>
              </w:rPr>
            </w:pPr>
            <w:r w:rsidRPr="008E5822">
              <w:rPr>
                <w:rFonts w:ascii="Tahoma" w:hAnsi="Tahoma" w:cs="Tahoma"/>
                <w:sz w:val="20"/>
                <w:szCs w:val="20"/>
              </w:rPr>
              <w:t>Toma decisiones responsables e informadas relacionadas con la salud sexual y reproductiva, a partir de comprender que el ejercicio de la sexualidad es una decisión propia, en la que permean los valores, formas de pensar de cada persona y la cultura, y forma parte de los derechos sexuales.</w:t>
            </w:r>
          </w:p>
          <w:p w14:paraId="689DC986" w14:textId="77777777" w:rsidR="00ED6FBD" w:rsidRPr="008E5822" w:rsidRDefault="00ED6FBD" w:rsidP="00ED6FBD">
            <w:pPr>
              <w:jc w:val="both"/>
              <w:rPr>
                <w:rFonts w:ascii="Tahoma" w:hAnsi="Tahoma" w:cs="Tahoma"/>
                <w:sz w:val="20"/>
                <w:szCs w:val="20"/>
              </w:rPr>
            </w:pPr>
            <w:r w:rsidRPr="008E5822">
              <w:rPr>
                <w:rFonts w:ascii="Tahoma" w:hAnsi="Tahoma" w:cs="Tahoma"/>
                <w:sz w:val="20"/>
                <w:szCs w:val="20"/>
              </w:rPr>
              <w:t>Compara y argumenta ventajas y desventajas de llevar a cabo conductas sexuales responsables para evitar embarazos e ITS, incluido el VIH: uso del condón, retraso de la actividad sexual o la abstención.</w:t>
            </w:r>
          </w:p>
          <w:p w14:paraId="08491ADC" w14:textId="77777777" w:rsidR="00ED6FBD" w:rsidRPr="008E5822" w:rsidRDefault="00ED6FBD" w:rsidP="00ED6FBD">
            <w:pPr>
              <w:jc w:val="both"/>
              <w:rPr>
                <w:rFonts w:ascii="Tahoma" w:hAnsi="Tahoma" w:cs="Tahoma"/>
                <w:sz w:val="20"/>
                <w:szCs w:val="20"/>
              </w:rPr>
            </w:pPr>
            <w:r w:rsidRPr="008E5822">
              <w:rPr>
                <w:rFonts w:ascii="Tahoma" w:hAnsi="Tahoma" w:cs="Tahoma"/>
                <w:sz w:val="20"/>
                <w:szCs w:val="20"/>
              </w:rPr>
              <w:t>Analiza creencias e ideas falsas en torno a las ITS, con base en las vías de transmisión y prevención, el uso de métodos anticonceptivos (variedad, efectividad y accesibilidad) y las conductas de autocuidado.</w:t>
            </w:r>
          </w:p>
          <w:p w14:paraId="6FC67B65" w14:textId="77982317" w:rsidR="00ED6FBD" w:rsidRPr="00F40099" w:rsidRDefault="00ED6FBD" w:rsidP="00ED6FBD">
            <w:pPr>
              <w:rPr>
                <w:rFonts w:ascii="Tahoma" w:hAnsi="Tahoma" w:cs="Tahoma"/>
                <w:b/>
                <w:bCs/>
                <w:sz w:val="20"/>
                <w:szCs w:val="20"/>
              </w:rPr>
            </w:pPr>
            <w:r w:rsidRPr="008E5822">
              <w:rPr>
                <w:rFonts w:ascii="Tahoma" w:hAnsi="Tahoma" w:cs="Tahoma"/>
                <w:sz w:val="20"/>
                <w:szCs w:val="20"/>
              </w:rPr>
              <w:t>Reconoce que el consumo de alcohol y otras sustancias adictivas, el rechazo al uso de métodos anticonceptivos, entre otros, son factores que propician conductas violentas vinculadas al ejercicio de la sexualidad: abuso sexual, hostigamiento, violación, violencia infantil y de género.</w:t>
            </w:r>
          </w:p>
        </w:tc>
        <w:tc>
          <w:tcPr>
            <w:tcW w:w="2268" w:type="dxa"/>
            <w:vAlign w:val="center"/>
          </w:tcPr>
          <w:p w14:paraId="2C78BD71" w14:textId="5C6CC2DF" w:rsidR="00ED6FBD" w:rsidRPr="00ED6FBD" w:rsidRDefault="00ED6FBD" w:rsidP="00ED6FBD">
            <w:pPr>
              <w:jc w:val="center"/>
              <w:rPr>
                <w:rFonts w:ascii="Tahoma" w:hAnsi="Tahoma" w:cs="Tahoma"/>
                <w:b/>
                <w:bCs/>
                <w:sz w:val="20"/>
                <w:szCs w:val="20"/>
              </w:rPr>
            </w:pPr>
            <w:r w:rsidRPr="00ED6FBD">
              <w:rPr>
                <w:rFonts w:ascii="Tahoma" w:hAnsi="Tahoma" w:cs="Tahoma"/>
                <w:b/>
                <w:bCs/>
                <w:sz w:val="20"/>
                <w:szCs w:val="20"/>
              </w:rPr>
              <w:t xml:space="preserve">Secuencia. </w:t>
            </w:r>
            <w:r w:rsidRPr="00ED6FBD">
              <w:rPr>
                <w:rFonts w:ascii="Tahoma" w:hAnsi="Tahoma" w:cs="Tahoma"/>
                <w:sz w:val="20"/>
                <w:szCs w:val="20"/>
              </w:rPr>
              <w:t>¡Mi cuerpo, mi decisión! Explorando la salud sexual y reproductiva con ciencia y responsabilidad</w:t>
            </w:r>
          </w:p>
        </w:tc>
      </w:tr>
      <w:tr w:rsidR="00ED6FBD" w:rsidRPr="005B0E01" w14:paraId="6DFD02F8" w14:textId="77777777" w:rsidTr="00F40099">
        <w:tc>
          <w:tcPr>
            <w:tcW w:w="1048" w:type="dxa"/>
            <w:textDirection w:val="btLr"/>
            <w:vAlign w:val="center"/>
          </w:tcPr>
          <w:p w14:paraId="74149D25" w14:textId="1E7B16E6" w:rsidR="00ED6FBD" w:rsidRDefault="00ED6FBD" w:rsidP="00ED6FBD">
            <w:pPr>
              <w:ind w:left="113" w:right="113"/>
              <w:jc w:val="center"/>
              <w:rPr>
                <w:rFonts w:ascii="Tahoma" w:hAnsi="Tahoma" w:cs="Tahoma"/>
                <w:b/>
                <w:bCs/>
                <w:sz w:val="24"/>
                <w:szCs w:val="24"/>
              </w:rPr>
            </w:pPr>
            <w:r>
              <w:rPr>
                <w:rFonts w:ascii="Tahoma" w:hAnsi="Tahoma" w:cs="Tahoma"/>
                <w:b/>
                <w:bCs/>
                <w:sz w:val="24"/>
                <w:szCs w:val="24"/>
              </w:rPr>
              <w:lastRenderedPageBreak/>
              <w:t>Ética, naturaleza y sociedades</w:t>
            </w:r>
          </w:p>
        </w:tc>
        <w:tc>
          <w:tcPr>
            <w:tcW w:w="2835" w:type="dxa"/>
            <w:vAlign w:val="center"/>
          </w:tcPr>
          <w:p w14:paraId="55DD78B2" w14:textId="1CDA2B56" w:rsidR="00ED6FBD" w:rsidRPr="00F40099" w:rsidRDefault="00ED6FBD" w:rsidP="00ED6FBD">
            <w:pPr>
              <w:rPr>
                <w:rFonts w:ascii="Tahoma" w:hAnsi="Tahoma" w:cs="Tahoma"/>
                <w:b/>
                <w:bCs/>
                <w:sz w:val="20"/>
                <w:szCs w:val="20"/>
              </w:rPr>
            </w:pPr>
            <w:r w:rsidRPr="008E5822">
              <w:rPr>
                <w:rFonts w:ascii="Tahoma" w:hAnsi="Tahoma" w:cs="Tahoma"/>
                <w:sz w:val="20"/>
                <w:szCs w:val="20"/>
              </w:rPr>
              <w:t>Movimientos sociales en el México de los siglos XIX y XX: la Independencia y la Revolución Mexicana.</w:t>
            </w:r>
          </w:p>
        </w:tc>
        <w:tc>
          <w:tcPr>
            <w:tcW w:w="7937" w:type="dxa"/>
            <w:vAlign w:val="center"/>
          </w:tcPr>
          <w:p w14:paraId="78BD43F3" w14:textId="77777777" w:rsidR="00ED6FBD" w:rsidRPr="008E5822" w:rsidRDefault="00ED6FBD" w:rsidP="00ED6FBD">
            <w:pPr>
              <w:jc w:val="both"/>
              <w:rPr>
                <w:rFonts w:ascii="Tahoma" w:hAnsi="Tahoma" w:cs="Tahoma"/>
                <w:sz w:val="20"/>
                <w:szCs w:val="20"/>
              </w:rPr>
            </w:pPr>
            <w:r w:rsidRPr="008E5822">
              <w:rPr>
                <w:rFonts w:ascii="Tahoma" w:hAnsi="Tahoma" w:cs="Tahoma"/>
                <w:sz w:val="20"/>
                <w:szCs w:val="20"/>
              </w:rPr>
              <w:t>Indaga en fuentes bibliográficas, hemerográficas y digitales, así como en fotografías y objetos, las principales características sociales, económicas, políticas y culturales del Porfiriato.</w:t>
            </w:r>
          </w:p>
          <w:p w14:paraId="0FE4CCF2" w14:textId="77777777" w:rsidR="00ED6FBD" w:rsidRPr="008E5822" w:rsidRDefault="00ED6FBD" w:rsidP="00ED6FBD">
            <w:pPr>
              <w:jc w:val="both"/>
              <w:rPr>
                <w:rFonts w:ascii="Tahoma" w:hAnsi="Tahoma" w:cs="Tahoma"/>
                <w:sz w:val="20"/>
                <w:szCs w:val="20"/>
              </w:rPr>
            </w:pPr>
            <w:r w:rsidRPr="008E5822">
              <w:rPr>
                <w:rFonts w:ascii="Tahoma" w:hAnsi="Tahoma" w:cs="Tahoma"/>
                <w:sz w:val="20"/>
                <w:szCs w:val="20"/>
              </w:rPr>
              <w:t>Indaga acerca de las causas que dieron origen al movimiento revolucionario de 1910, como las injusticias, entre las que se encuentran: el despojo de las tierras comunales de campesinos y pueblos originarios, la explotación laboral por las compañías extranjeras, casos como las huelgas de los trabajadores de Cananea, Sonora (1906) y de Río Blanco, Veracruz (1907), y la apropiación y control de diversas extensiones de tierras, bosques y aguas en pocas manos.</w:t>
            </w:r>
          </w:p>
          <w:p w14:paraId="57972991" w14:textId="77777777" w:rsidR="00ED6FBD" w:rsidRPr="008E5822" w:rsidRDefault="00ED6FBD" w:rsidP="00ED6FBD">
            <w:pPr>
              <w:jc w:val="both"/>
              <w:rPr>
                <w:rFonts w:ascii="Tahoma" w:hAnsi="Tahoma" w:cs="Tahoma"/>
                <w:sz w:val="20"/>
                <w:szCs w:val="20"/>
              </w:rPr>
            </w:pPr>
            <w:r w:rsidRPr="008E5822">
              <w:rPr>
                <w:rFonts w:ascii="Tahoma" w:hAnsi="Tahoma" w:cs="Tahoma"/>
                <w:sz w:val="20"/>
                <w:szCs w:val="20"/>
              </w:rPr>
              <w:t>Indaga sobre procesos y luchas por la justicia, que ocurren actualmente en diversas partes del país.</w:t>
            </w:r>
          </w:p>
          <w:p w14:paraId="5D228EB8" w14:textId="77777777" w:rsidR="00ED6FBD" w:rsidRPr="008E5822" w:rsidRDefault="00ED6FBD" w:rsidP="00ED6FBD">
            <w:pPr>
              <w:jc w:val="both"/>
              <w:rPr>
                <w:rFonts w:ascii="Tahoma" w:hAnsi="Tahoma" w:cs="Tahoma"/>
                <w:sz w:val="20"/>
                <w:szCs w:val="20"/>
              </w:rPr>
            </w:pPr>
            <w:r w:rsidRPr="008E5822">
              <w:rPr>
                <w:rFonts w:ascii="Tahoma" w:hAnsi="Tahoma" w:cs="Tahoma"/>
                <w:sz w:val="20"/>
                <w:szCs w:val="20"/>
              </w:rPr>
              <w:t>Investiga sobre la participación de distintos grupos en la búsqueda por la justicia social, el reconocimiento y la garantía de los derechos sociales, además de cómo estos ideales se plasmaron en la Constitución Política de los Estados Unidos Mexicanos de 1917.</w:t>
            </w:r>
          </w:p>
          <w:p w14:paraId="11CA0A07" w14:textId="77777777" w:rsidR="00ED6FBD" w:rsidRPr="008E5822" w:rsidRDefault="00ED6FBD" w:rsidP="00ED6FBD">
            <w:pPr>
              <w:jc w:val="both"/>
              <w:rPr>
                <w:rFonts w:ascii="Tahoma" w:hAnsi="Tahoma" w:cs="Tahoma"/>
                <w:sz w:val="20"/>
                <w:szCs w:val="20"/>
              </w:rPr>
            </w:pPr>
            <w:r w:rsidRPr="008E5822">
              <w:rPr>
                <w:rFonts w:ascii="Tahoma" w:hAnsi="Tahoma" w:cs="Tahoma"/>
                <w:sz w:val="20"/>
                <w:szCs w:val="20"/>
              </w:rPr>
              <w:t>Investiga en fuentes bibliográficas, hemerográficas e iconográficas, sobre los debates del constituyente de 1917, para lograr el reconocimiento y la garantía de los derechos sociales.</w:t>
            </w:r>
          </w:p>
          <w:p w14:paraId="0EEF7893" w14:textId="77777777" w:rsidR="00ED6FBD" w:rsidRPr="008E5822" w:rsidRDefault="00ED6FBD" w:rsidP="00ED6FBD">
            <w:pPr>
              <w:jc w:val="both"/>
              <w:rPr>
                <w:rFonts w:ascii="Tahoma" w:hAnsi="Tahoma" w:cs="Tahoma"/>
                <w:sz w:val="20"/>
                <w:szCs w:val="20"/>
              </w:rPr>
            </w:pPr>
            <w:r w:rsidRPr="008E5822">
              <w:rPr>
                <w:rFonts w:ascii="Tahoma" w:hAnsi="Tahoma" w:cs="Tahoma"/>
                <w:sz w:val="20"/>
                <w:szCs w:val="20"/>
              </w:rPr>
              <w:t>Analiza los artículos 3</w:t>
            </w:r>
            <w:r>
              <w:rPr>
                <w:rFonts w:ascii="Tahoma" w:hAnsi="Tahoma" w:cs="Tahoma"/>
                <w:sz w:val="20"/>
                <w:szCs w:val="20"/>
              </w:rPr>
              <w:t>o.</w:t>
            </w:r>
            <w:r w:rsidRPr="008E5822">
              <w:rPr>
                <w:rFonts w:ascii="Tahoma" w:hAnsi="Tahoma" w:cs="Tahoma"/>
                <w:sz w:val="20"/>
                <w:szCs w:val="20"/>
              </w:rPr>
              <w:t>, 27 y 123 de la Constitución Política de los Estados Unidos Mexicanos referentes a la educación, la propiedad de las tierras y el trabajo, indaga los debates que se dieron en el constituyente para su reconocimiento y garantía.</w:t>
            </w:r>
          </w:p>
          <w:p w14:paraId="13F16490" w14:textId="77777777" w:rsidR="00ED6FBD" w:rsidRPr="008E5822" w:rsidRDefault="00ED6FBD" w:rsidP="00ED6FBD">
            <w:pPr>
              <w:jc w:val="both"/>
              <w:rPr>
                <w:rFonts w:ascii="Tahoma" w:hAnsi="Tahoma" w:cs="Tahoma"/>
                <w:sz w:val="20"/>
                <w:szCs w:val="20"/>
              </w:rPr>
            </w:pPr>
            <w:r w:rsidRPr="008E5822">
              <w:rPr>
                <w:rFonts w:ascii="Tahoma" w:hAnsi="Tahoma" w:cs="Tahoma"/>
                <w:sz w:val="20"/>
                <w:szCs w:val="20"/>
              </w:rPr>
              <w:t>Investiga el impacto que tuvo en la entidad el movimiento revolucionario.</w:t>
            </w:r>
          </w:p>
          <w:p w14:paraId="2EABB4E4" w14:textId="77777777" w:rsidR="00ED6FBD" w:rsidRPr="008E5822" w:rsidRDefault="00ED6FBD" w:rsidP="00ED6FBD">
            <w:pPr>
              <w:jc w:val="both"/>
              <w:rPr>
                <w:rFonts w:ascii="Tahoma" w:hAnsi="Tahoma" w:cs="Tahoma"/>
                <w:sz w:val="20"/>
                <w:szCs w:val="20"/>
              </w:rPr>
            </w:pPr>
            <w:r w:rsidRPr="008E5822">
              <w:rPr>
                <w:rFonts w:ascii="Tahoma" w:hAnsi="Tahoma" w:cs="Tahoma"/>
                <w:sz w:val="20"/>
                <w:szCs w:val="20"/>
              </w:rPr>
              <w:t>Analiza la participación en el movimiento revolucionario de personajes como Francisco I. Madero, Emiliano Zapata, Francisco Villa, Venustiano Carranza, entre otros, destacando sus ideales, así como su origen social y cultural.</w:t>
            </w:r>
          </w:p>
          <w:p w14:paraId="0C475ABC" w14:textId="77777777" w:rsidR="00ED6FBD" w:rsidRPr="008E5822" w:rsidRDefault="00ED6FBD" w:rsidP="00ED6FBD">
            <w:pPr>
              <w:jc w:val="both"/>
              <w:rPr>
                <w:rFonts w:ascii="Tahoma" w:hAnsi="Tahoma" w:cs="Tahoma"/>
                <w:sz w:val="20"/>
                <w:szCs w:val="20"/>
              </w:rPr>
            </w:pPr>
            <w:r w:rsidRPr="008E5822">
              <w:rPr>
                <w:rFonts w:ascii="Tahoma" w:hAnsi="Tahoma" w:cs="Tahoma"/>
                <w:sz w:val="20"/>
                <w:szCs w:val="20"/>
              </w:rPr>
              <w:t>Reconoce la participación de las mujeres en la lucha revolucionaria, tales como María de la Luz Espinoza Barrera, Carmen Vélez “La Generala”, María Quinteras de Meras, Petra Herrera, las “adelitas”, entre otras.</w:t>
            </w:r>
          </w:p>
          <w:p w14:paraId="287091D9" w14:textId="77777777" w:rsidR="00ED6FBD" w:rsidRPr="008E5822" w:rsidRDefault="00ED6FBD" w:rsidP="00ED6FBD">
            <w:pPr>
              <w:jc w:val="both"/>
              <w:rPr>
                <w:rFonts w:ascii="Tahoma" w:hAnsi="Tahoma" w:cs="Tahoma"/>
                <w:sz w:val="20"/>
                <w:szCs w:val="20"/>
              </w:rPr>
            </w:pPr>
            <w:r w:rsidRPr="008E5822">
              <w:rPr>
                <w:rFonts w:ascii="Tahoma" w:hAnsi="Tahoma" w:cs="Tahoma"/>
                <w:sz w:val="20"/>
                <w:szCs w:val="20"/>
              </w:rPr>
              <w:t>Destaca y compara la participación actual de mujeres mexicanas entre las que se identifican indígenas y afromexicanas, en diversos ámbitos de la vida política, social y cultural del país.</w:t>
            </w:r>
          </w:p>
          <w:p w14:paraId="2C6C2001" w14:textId="01980A7A" w:rsidR="00ED6FBD" w:rsidRPr="00F40099" w:rsidRDefault="00ED6FBD" w:rsidP="00ED6FBD">
            <w:pPr>
              <w:rPr>
                <w:rFonts w:ascii="Tahoma" w:hAnsi="Tahoma" w:cs="Tahoma"/>
                <w:b/>
                <w:bCs/>
                <w:sz w:val="20"/>
                <w:szCs w:val="20"/>
              </w:rPr>
            </w:pPr>
            <w:r w:rsidRPr="008E5822">
              <w:rPr>
                <w:rFonts w:ascii="Tahoma" w:hAnsi="Tahoma" w:cs="Tahoma"/>
                <w:sz w:val="20"/>
                <w:szCs w:val="20"/>
              </w:rPr>
              <w:t>Representa en mapas, los lugares estratégicos y emblemáticos de la lucha por la Revolución Mexicana, y las rutas seguidas por los personajes que encabezaron este movimiento.</w:t>
            </w:r>
          </w:p>
        </w:tc>
        <w:tc>
          <w:tcPr>
            <w:tcW w:w="2268" w:type="dxa"/>
            <w:vAlign w:val="center"/>
          </w:tcPr>
          <w:p w14:paraId="4B1489F3" w14:textId="5AA49B42" w:rsidR="00ED6FBD" w:rsidRPr="00ED6FBD" w:rsidRDefault="00ED6FBD" w:rsidP="00ED6FBD">
            <w:pPr>
              <w:jc w:val="center"/>
              <w:rPr>
                <w:rFonts w:ascii="Tahoma" w:hAnsi="Tahoma" w:cs="Tahoma"/>
                <w:b/>
                <w:bCs/>
                <w:sz w:val="20"/>
                <w:szCs w:val="20"/>
              </w:rPr>
            </w:pPr>
            <w:r w:rsidRPr="00ED6FBD">
              <w:rPr>
                <w:rFonts w:ascii="Tahoma" w:hAnsi="Tahoma" w:cs="Tahoma"/>
                <w:b/>
                <w:bCs/>
                <w:sz w:val="20"/>
                <w:szCs w:val="20"/>
              </w:rPr>
              <w:t xml:space="preserve">Secuencia. </w:t>
            </w:r>
            <w:r w:rsidRPr="00ED6FBD">
              <w:rPr>
                <w:rFonts w:ascii="Tahoma" w:hAnsi="Tahoma" w:cs="Tahoma"/>
                <w:sz w:val="20"/>
                <w:szCs w:val="20"/>
              </w:rPr>
              <w:t>De la lucha armada de 1910 a la justicia social de nuestros días</w:t>
            </w:r>
          </w:p>
        </w:tc>
      </w:tr>
      <w:tr w:rsidR="00ED6FBD" w:rsidRPr="005B0E01" w14:paraId="035BC0E5" w14:textId="77777777" w:rsidTr="00BC1C35">
        <w:trPr>
          <w:cantSplit/>
          <w:trHeight w:val="1814"/>
        </w:trPr>
        <w:tc>
          <w:tcPr>
            <w:tcW w:w="1048" w:type="dxa"/>
            <w:textDirection w:val="btLr"/>
            <w:vAlign w:val="center"/>
          </w:tcPr>
          <w:p w14:paraId="16A298FA" w14:textId="2DDD0AF2" w:rsidR="00ED6FBD" w:rsidRDefault="00ED6FBD" w:rsidP="00ED6FBD">
            <w:pPr>
              <w:ind w:left="113" w:right="113"/>
              <w:jc w:val="center"/>
              <w:rPr>
                <w:rFonts w:ascii="Tahoma" w:hAnsi="Tahoma" w:cs="Tahoma"/>
                <w:b/>
                <w:bCs/>
                <w:sz w:val="24"/>
                <w:szCs w:val="24"/>
              </w:rPr>
            </w:pPr>
            <w:r>
              <w:rPr>
                <w:rFonts w:ascii="Tahoma" w:hAnsi="Tahoma" w:cs="Tahoma"/>
                <w:b/>
                <w:bCs/>
                <w:sz w:val="24"/>
                <w:szCs w:val="24"/>
              </w:rPr>
              <w:t>De lo humano y lo comunitario</w:t>
            </w:r>
          </w:p>
        </w:tc>
        <w:tc>
          <w:tcPr>
            <w:tcW w:w="2835" w:type="dxa"/>
            <w:vAlign w:val="center"/>
          </w:tcPr>
          <w:p w14:paraId="76D365F7" w14:textId="050D01EB" w:rsidR="00ED6FBD" w:rsidRPr="00F40099" w:rsidRDefault="00ED6FBD" w:rsidP="00ED6FBD">
            <w:pPr>
              <w:rPr>
                <w:rFonts w:ascii="Tahoma" w:hAnsi="Tahoma" w:cs="Tahoma"/>
                <w:b/>
                <w:bCs/>
                <w:sz w:val="20"/>
                <w:szCs w:val="20"/>
              </w:rPr>
            </w:pPr>
            <w:r w:rsidRPr="008E5822">
              <w:rPr>
                <w:rFonts w:ascii="Tahoma" w:hAnsi="Tahoma" w:cs="Tahoma"/>
                <w:sz w:val="20"/>
                <w:szCs w:val="20"/>
              </w:rPr>
              <w:t>Educación Integral en Sexualidad.</w:t>
            </w:r>
          </w:p>
        </w:tc>
        <w:tc>
          <w:tcPr>
            <w:tcW w:w="7937" w:type="dxa"/>
            <w:vAlign w:val="center"/>
          </w:tcPr>
          <w:p w14:paraId="26FBA8F2" w14:textId="5F0F3F14" w:rsidR="00ED6FBD" w:rsidRPr="00F40099" w:rsidRDefault="00ED6FBD" w:rsidP="00ED6FBD">
            <w:pPr>
              <w:rPr>
                <w:rFonts w:ascii="Tahoma" w:hAnsi="Tahoma" w:cs="Tahoma"/>
                <w:b/>
                <w:bCs/>
                <w:sz w:val="20"/>
                <w:szCs w:val="20"/>
              </w:rPr>
            </w:pPr>
            <w:r w:rsidRPr="008E5822">
              <w:rPr>
                <w:rFonts w:ascii="Tahoma" w:hAnsi="Tahoma" w:cs="Tahoma"/>
                <w:sz w:val="20"/>
                <w:szCs w:val="20"/>
              </w:rPr>
              <w:t>Reflexiona acerca de la importancia de expresar su consentimiento o rechazo ante situaciones que le generan placeres y displaceres para valorar las implicaciones en su bienestar.</w:t>
            </w:r>
          </w:p>
        </w:tc>
        <w:tc>
          <w:tcPr>
            <w:tcW w:w="2268" w:type="dxa"/>
            <w:vAlign w:val="center"/>
          </w:tcPr>
          <w:p w14:paraId="1F8D1B44" w14:textId="28F0641F" w:rsidR="00ED6FBD" w:rsidRPr="00ED6FBD" w:rsidRDefault="00ED6FBD" w:rsidP="00ED6FBD">
            <w:pPr>
              <w:jc w:val="center"/>
              <w:rPr>
                <w:rFonts w:ascii="Tahoma" w:hAnsi="Tahoma" w:cs="Tahoma"/>
                <w:b/>
                <w:bCs/>
                <w:sz w:val="20"/>
                <w:szCs w:val="20"/>
              </w:rPr>
            </w:pPr>
            <w:r w:rsidRPr="00ED6FBD">
              <w:rPr>
                <w:rFonts w:ascii="Tahoma" w:hAnsi="Tahoma" w:cs="Tahoma"/>
                <w:b/>
                <w:bCs/>
                <w:sz w:val="20"/>
                <w:szCs w:val="20"/>
              </w:rPr>
              <w:t xml:space="preserve">Secuencia. </w:t>
            </w:r>
            <w:r w:rsidRPr="00ED6FBD">
              <w:rPr>
                <w:rFonts w:ascii="Tahoma" w:hAnsi="Tahoma" w:cs="Tahoma"/>
                <w:sz w:val="20"/>
                <w:szCs w:val="20"/>
              </w:rPr>
              <w:t>Mi bienestar, mi decisión: Aprendo sobre consentimiento, salud y derechos sexuales</w:t>
            </w:r>
          </w:p>
        </w:tc>
      </w:tr>
      <w:tr w:rsidR="00A6558D" w:rsidRPr="005B0E01" w14:paraId="39E14D23" w14:textId="77777777" w:rsidTr="00BC1C35">
        <w:trPr>
          <w:cantSplit/>
          <w:trHeight w:val="1474"/>
        </w:trPr>
        <w:tc>
          <w:tcPr>
            <w:tcW w:w="1048" w:type="dxa"/>
            <w:textDirection w:val="btLr"/>
            <w:vAlign w:val="center"/>
          </w:tcPr>
          <w:p w14:paraId="09347279" w14:textId="27F9C1E0" w:rsidR="00A6558D" w:rsidRDefault="00A6558D" w:rsidP="00A6558D">
            <w:pPr>
              <w:ind w:left="113" w:right="113"/>
              <w:jc w:val="center"/>
              <w:rPr>
                <w:rFonts w:ascii="Tahoma" w:hAnsi="Tahoma" w:cs="Tahoma"/>
                <w:b/>
                <w:bCs/>
                <w:sz w:val="24"/>
                <w:szCs w:val="24"/>
              </w:rPr>
            </w:pPr>
            <w:r>
              <w:rPr>
                <w:rFonts w:ascii="Tahoma" w:hAnsi="Tahoma" w:cs="Tahoma"/>
                <w:b/>
                <w:bCs/>
                <w:sz w:val="24"/>
                <w:szCs w:val="24"/>
              </w:rPr>
              <w:lastRenderedPageBreak/>
              <w:t>Educación Física</w:t>
            </w:r>
          </w:p>
        </w:tc>
        <w:tc>
          <w:tcPr>
            <w:tcW w:w="2835" w:type="dxa"/>
            <w:vAlign w:val="center"/>
          </w:tcPr>
          <w:p w14:paraId="3C184401" w14:textId="3877D8F8" w:rsidR="00A6558D" w:rsidRPr="00A6558D" w:rsidRDefault="00A6558D" w:rsidP="00A6558D">
            <w:pPr>
              <w:rPr>
                <w:rFonts w:ascii="Tahoma" w:hAnsi="Tahoma" w:cs="Tahoma"/>
                <w:b/>
                <w:bCs/>
                <w:sz w:val="20"/>
                <w:szCs w:val="20"/>
              </w:rPr>
            </w:pPr>
            <w:r w:rsidRPr="00A6558D">
              <w:rPr>
                <w:rFonts w:ascii="Tahoma" w:hAnsi="Tahoma" w:cs="Tahoma"/>
                <w:sz w:val="20"/>
                <w:szCs w:val="20"/>
              </w:rPr>
              <w:t>Potencialidades cognitivas, expresivas, motrices, creativas y de relación.</w:t>
            </w:r>
          </w:p>
        </w:tc>
        <w:tc>
          <w:tcPr>
            <w:tcW w:w="7937" w:type="dxa"/>
            <w:vAlign w:val="center"/>
          </w:tcPr>
          <w:p w14:paraId="09F5AF1C" w14:textId="68CB71BE" w:rsidR="00A6558D" w:rsidRPr="00A6558D" w:rsidRDefault="00A6558D" w:rsidP="00A6558D">
            <w:pPr>
              <w:rPr>
                <w:rFonts w:ascii="Tahoma" w:hAnsi="Tahoma" w:cs="Tahoma"/>
                <w:b/>
                <w:bCs/>
                <w:sz w:val="20"/>
                <w:szCs w:val="20"/>
              </w:rPr>
            </w:pPr>
            <w:r w:rsidRPr="00A6558D">
              <w:rPr>
                <w:rFonts w:ascii="Tahoma" w:hAnsi="Tahoma" w:cs="Tahoma"/>
                <w:sz w:val="20"/>
                <w:szCs w:val="20"/>
              </w:rPr>
              <w:t>Diseña propuestas de actividades lúdicas y expresivas a partir de sus intereses, capacidades y habilidades, para fortalecer su imagen corporal.</w:t>
            </w:r>
          </w:p>
        </w:tc>
        <w:tc>
          <w:tcPr>
            <w:tcW w:w="2268" w:type="dxa"/>
            <w:vAlign w:val="center"/>
          </w:tcPr>
          <w:p w14:paraId="314B895C" w14:textId="207288D3" w:rsidR="00A6558D" w:rsidRPr="00A6558D" w:rsidRDefault="00A6558D" w:rsidP="00A6558D">
            <w:pPr>
              <w:jc w:val="center"/>
              <w:rPr>
                <w:rFonts w:ascii="Tahoma" w:hAnsi="Tahoma" w:cs="Tahoma"/>
                <w:b/>
                <w:bCs/>
                <w:sz w:val="20"/>
                <w:szCs w:val="20"/>
              </w:rPr>
            </w:pPr>
            <w:r w:rsidRPr="00A6558D">
              <w:rPr>
                <w:rFonts w:ascii="Tahoma" w:hAnsi="Tahoma" w:cs="Tahoma"/>
                <w:b/>
                <w:bCs/>
                <w:sz w:val="20"/>
                <w:szCs w:val="20"/>
              </w:rPr>
              <w:t xml:space="preserve">Secuencia. </w:t>
            </w:r>
            <w:r w:rsidRPr="00A6558D">
              <w:rPr>
                <w:rFonts w:ascii="Tahoma" w:eastAsia="Google Sans" w:hAnsi="Tahoma" w:cs="Tahoma"/>
                <w:color w:val="1F1F1F"/>
                <w:sz w:val="20"/>
                <w:szCs w:val="20"/>
              </w:rPr>
              <w:t>Diseñadores del movimiento</w:t>
            </w:r>
          </w:p>
        </w:tc>
      </w:tr>
      <w:tr w:rsidR="0018222C" w:rsidRPr="005B0E01" w14:paraId="310B9888" w14:textId="77777777" w:rsidTr="00BC1C35">
        <w:trPr>
          <w:cantSplit/>
          <w:trHeight w:val="964"/>
        </w:trPr>
        <w:tc>
          <w:tcPr>
            <w:tcW w:w="1048" w:type="dxa"/>
            <w:vMerge w:val="restart"/>
            <w:textDirection w:val="btLr"/>
            <w:vAlign w:val="center"/>
          </w:tcPr>
          <w:p w14:paraId="7B8A12F9" w14:textId="617E6BC2" w:rsidR="0018222C" w:rsidRDefault="0018222C" w:rsidP="0018222C">
            <w:pPr>
              <w:ind w:left="113" w:right="113"/>
              <w:jc w:val="center"/>
              <w:rPr>
                <w:rFonts w:ascii="Tahoma" w:hAnsi="Tahoma" w:cs="Tahoma"/>
                <w:b/>
                <w:bCs/>
                <w:sz w:val="24"/>
                <w:szCs w:val="24"/>
              </w:rPr>
            </w:pPr>
            <w:r>
              <w:rPr>
                <w:rFonts w:ascii="Tahoma" w:hAnsi="Tahoma" w:cs="Tahoma"/>
                <w:b/>
                <w:bCs/>
                <w:sz w:val="24"/>
                <w:szCs w:val="24"/>
              </w:rPr>
              <w:t>Matemáticas</w:t>
            </w:r>
          </w:p>
        </w:tc>
        <w:tc>
          <w:tcPr>
            <w:tcW w:w="2835" w:type="dxa"/>
            <w:vAlign w:val="center"/>
          </w:tcPr>
          <w:p w14:paraId="7B06CEBE" w14:textId="3517309C" w:rsidR="0018222C" w:rsidRPr="0018222C" w:rsidRDefault="0018222C" w:rsidP="0018222C">
            <w:pPr>
              <w:rPr>
                <w:rFonts w:ascii="Tahoma" w:hAnsi="Tahoma" w:cs="Tahoma"/>
                <w:b/>
                <w:bCs/>
                <w:sz w:val="20"/>
                <w:szCs w:val="20"/>
              </w:rPr>
            </w:pPr>
            <w:r w:rsidRPr="0018222C">
              <w:rPr>
                <w:rFonts w:ascii="Tahoma" w:hAnsi="Tahoma" w:cs="Tahoma"/>
                <w:color w:val="0D0D0D"/>
                <w:sz w:val="20"/>
                <w:szCs w:val="20"/>
              </w:rPr>
              <w:t>Suma y resta, su relación como operaciones inversas</w:t>
            </w:r>
          </w:p>
        </w:tc>
        <w:tc>
          <w:tcPr>
            <w:tcW w:w="7937" w:type="dxa"/>
            <w:vAlign w:val="center"/>
          </w:tcPr>
          <w:p w14:paraId="4F364BA1" w14:textId="55B0A424" w:rsidR="0018222C" w:rsidRPr="0018222C" w:rsidRDefault="0018222C" w:rsidP="0018222C">
            <w:pPr>
              <w:rPr>
                <w:rFonts w:ascii="Tahoma" w:hAnsi="Tahoma" w:cs="Tahoma"/>
                <w:b/>
                <w:bCs/>
                <w:sz w:val="20"/>
                <w:szCs w:val="20"/>
              </w:rPr>
            </w:pPr>
            <w:r w:rsidRPr="0018222C">
              <w:rPr>
                <w:rFonts w:ascii="Tahoma" w:hAnsi="Tahoma" w:cs="Tahoma"/>
                <w:color w:val="0D0D0D"/>
                <w:sz w:val="20"/>
                <w:szCs w:val="20"/>
              </w:rPr>
              <w:t>Utiliza, explica y comprueba sus estrategias para calcular mentalmente sumas y restas de dos números decimales hasta centésimos.</w:t>
            </w:r>
          </w:p>
        </w:tc>
        <w:tc>
          <w:tcPr>
            <w:tcW w:w="2268" w:type="dxa"/>
            <w:vAlign w:val="center"/>
          </w:tcPr>
          <w:p w14:paraId="07057EA2" w14:textId="77777777" w:rsidR="0018222C" w:rsidRDefault="0018222C" w:rsidP="0018222C">
            <w:pPr>
              <w:jc w:val="center"/>
              <w:rPr>
                <w:rFonts w:ascii="Tahoma" w:hAnsi="Tahoma" w:cs="Tahoma"/>
                <w:b/>
                <w:bCs/>
                <w:sz w:val="20"/>
                <w:szCs w:val="20"/>
              </w:rPr>
            </w:pPr>
            <w:r>
              <w:rPr>
                <w:rFonts w:ascii="Tahoma" w:hAnsi="Tahoma" w:cs="Tahoma"/>
                <w:b/>
                <w:bCs/>
                <w:sz w:val="20"/>
                <w:szCs w:val="20"/>
              </w:rPr>
              <w:t>Semana # 1</w:t>
            </w:r>
          </w:p>
          <w:p w14:paraId="71003C06" w14:textId="4A12BBBE" w:rsidR="0018222C" w:rsidRPr="00F40099" w:rsidRDefault="0018222C" w:rsidP="0018222C">
            <w:pPr>
              <w:jc w:val="center"/>
              <w:rPr>
                <w:rFonts w:ascii="Tahoma" w:hAnsi="Tahoma" w:cs="Tahoma"/>
                <w:b/>
                <w:bCs/>
                <w:sz w:val="20"/>
                <w:szCs w:val="20"/>
              </w:rPr>
            </w:pPr>
            <w:r>
              <w:rPr>
                <w:rFonts w:ascii="Tahoma" w:hAnsi="Tahoma" w:cs="Tahoma"/>
                <w:b/>
                <w:bCs/>
                <w:sz w:val="20"/>
                <w:szCs w:val="20"/>
              </w:rPr>
              <w:t>Semana # 2</w:t>
            </w:r>
          </w:p>
        </w:tc>
      </w:tr>
      <w:tr w:rsidR="0018222C" w:rsidRPr="005B0E01" w14:paraId="12878DC3" w14:textId="77777777" w:rsidTr="00BC1C35">
        <w:trPr>
          <w:cantSplit/>
          <w:trHeight w:val="964"/>
        </w:trPr>
        <w:tc>
          <w:tcPr>
            <w:tcW w:w="1048" w:type="dxa"/>
            <w:vMerge/>
            <w:vAlign w:val="center"/>
          </w:tcPr>
          <w:p w14:paraId="783D95BE" w14:textId="77777777" w:rsidR="0018222C" w:rsidRDefault="0018222C" w:rsidP="0018222C">
            <w:pPr>
              <w:rPr>
                <w:rFonts w:ascii="Tahoma" w:hAnsi="Tahoma" w:cs="Tahoma"/>
                <w:b/>
                <w:bCs/>
                <w:sz w:val="24"/>
                <w:szCs w:val="24"/>
              </w:rPr>
            </w:pPr>
          </w:p>
        </w:tc>
        <w:tc>
          <w:tcPr>
            <w:tcW w:w="2835" w:type="dxa"/>
            <w:vAlign w:val="center"/>
          </w:tcPr>
          <w:p w14:paraId="6DA6A457" w14:textId="7495E040" w:rsidR="0018222C" w:rsidRPr="0018222C" w:rsidRDefault="0018222C" w:rsidP="0018222C">
            <w:pPr>
              <w:rPr>
                <w:rFonts w:ascii="Tahoma" w:hAnsi="Tahoma" w:cs="Tahoma"/>
                <w:b/>
                <w:bCs/>
                <w:sz w:val="20"/>
                <w:szCs w:val="20"/>
              </w:rPr>
            </w:pPr>
            <w:r w:rsidRPr="0018222C">
              <w:rPr>
                <w:rFonts w:ascii="Tahoma" w:hAnsi="Tahoma" w:cs="Tahoma"/>
                <w:color w:val="0D0D0D"/>
                <w:sz w:val="20"/>
                <w:szCs w:val="20"/>
              </w:rPr>
              <w:t>Perímetro, área y noción de volumen</w:t>
            </w:r>
          </w:p>
        </w:tc>
        <w:tc>
          <w:tcPr>
            <w:tcW w:w="7937" w:type="dxa"/>
            <w:vAlign w:val="center"/>
          </w:tcPr>
          <w:p w14:paraId="2CFB836F" w14:textId="34C8FC06" w:rsidR="0018222C" w:rsidRPr="0018222C" w:rsidRDefault="0018222C" w:rsidP="0018222C">
            <w:pPr>
              <w:rPr>
                <w:rFonts w:ascii="Tahoma" w:hAnsi="Tahoma" w:cs="Tahoma"/>
                <w:b/>
                <w:bCs/>
                <w:sz w:val="20"/>
                <w:szCs w:val="20"/>
              </w:rPr>
            </w:pPr>
            <w:r w:rsidRPr="0018222C">
              <w:rPr>
                <w:rFonts w:ascii="Tahoma" w:hAnsi="Tahoma" w:cs="Tahoma"/>
                <w:color w:val="0D0D0D"/>
                <w:sz w:val="20"/>
                <w:szCs w:val="20"/>
              </w:rPr>
              <w:t>Resuelve situaciones problemáticas que implican calcular el perímetro y área de figuras compuestas por triángulos y cuadriláteros; utiliza unidades convencionales (m, cm, m² y cm²) para expresar sus resultados.</w:t>
            </w:r>
          </w:p>
        </w:tc>
        <w:tc>
          <w:tcPr>
            <w:tcW w:w="2268" w:type="dxa"/>
            <w:vAlign w:val="center"/>
          </w:tcPr>
          <w:p w14:paraId="6531B18A" w14:textId="77777777" w:rsidR="0018222C" w:rsidRDefault="0018222C" w:rsidP="0018222C">
            <w:pPr>
              <w:jc w:val="center"/>
              <w:rPr>
                <w:rFonts w:ascii="Tahoma" w:hAnsi="Tahoma" w:cs="Tahoma"/>
                <w:b/>
                <w:bCs/>
                <w:sz w:val="20"/>
                <w:szCs w:val="20"/>
              </w:rPr>
            </w:pPr>
            <w:r>
              <w:rPr>
                <w:rFonts w:ascii="Tahoma" w:hAnsi="Tahoma" w:cs="Tahoma"/>
                <w:b/>
                <w:bCs/>
                <w:sz w:val="20"/>
                <w:szCs w:val="20"/>
              </w:rPr>
              <w:t>Semana # 2</w:t>
            </w:r>
          </w:p>
          <w:p w14:paraId="47EE0D78" w14:textId="11046ED2" w:rsidR="0018222C" w:rsidRPr="00F40099" w:rsidRDefault="0018222C" w:rsidP="0018222C">
            <w:pPr>
              <w:jc w:val="center"/>
              <w:rPr>
                <w:rFonts w:ascii="Tahoma" w:hAnsi="Tahoma" w:cs="Tahoma"/>
                <w:b/>
                <w:bCs/>
                <w:sz w:val="20"/>
                <w:szCs w:val="20"/>
              </w:rPr>
            </w:pPr>
            <w:r>
              <w:rPr>
                <w:rFonts w:ascii="Tahoma" w:hAnsi="Tahoma" w:cs="Tahoma"/>
                <w:b/>
                <w:bCs/>
                <w:sz w:val="20"/>
                <w:szCs w:val="20"/>
              </w:rPr>
              <w:t>Semana # 3</w:t>
            </w:r>
          </w:p>
        </w:tc>
      </w:tr>
      <w:tr w:rsidR="0018222C" w:rsidRPr="005B0E01" w14:paraId="4AB2547A" w14:textId="77777777" w:rsidTr="00BC1C35">
        <w:trPr>
          <w:cantSplit/>
          <w:trHeight w:val="964"/>
        </w:trPr>
        <w:tc>
          <w:tcPr>
            <w:tcW w:w="1048" w:type="dxa"/>
            <w:vMerge/>
            <w:vAlign w:val="center"/>
          </w:tcPr>
          <w:p w14:paraId="2BB88FDA" w14:textId="77777777" w:rsidR="0018222C" w:rsidRDefault="0018222C" w:rsidP="0018222C">
            <w:pPr>
              <w:rPr>
                <w:rFonts w:ascii="Tahoma" w:hAnsi="Tahoma" w:cs="Tahoma"/>
                <w:b/>
                <w:bCs/>
                <w:sz w:val="24"/>
                <w:szCs w:val="24"/>
              </w:rPr>
            </w:pPr>
          </w:p>
        </w:tc>
        <w:tc>
          <w:tcPr>
            <w:tcW w:w="2835" w:type="dxa"/>
            <w:vAlign w:val="center"/>
          </w:tcPr>
          <w:p w14:paraId="62735DA8" w14:textId="1D7946ED" w:rsidR="0018222C" w:rsidRPr="0018222C" w:rsidRDefault="0018222C" w:rsidP="0018222C">
            <w:pPr>
              <w:rPr>
                <w:rFonts w:ascii="Tahoma" w:hAnsi="Tahoma" w:cs="Tahoma"/>
                <w:b/>
                <w:bCs/>
                <w:sz w:val="20"/>
                <w:szCs w:val="20"/>
              </w:rPr>
            </w:pPr>
            <w:r w:rsidRPr="0018222C">
              <w:rPr>
                <w:rFonts w:ascii="Tahoma" w:hAnsi="Tahoma" w:cs="Tahoma"/>
                <w:color w:val="0D0D0D"/>
                <w:sz w:val="20"/>
                <w:szCs w:val="20"/>
              </w:rPr>
              <w:t>Ubicación espacial</w:t>
            </w:r>
          </w:p>
        </w:tc>
        <w:tc>
          <w:tcPr>
            <w:tcW w:w="7937" w:type="dxa"/>
            <w:vAlign w:val="center"/>
          </w:tcPr>
          <w:p w14:paraId="7EDCF076" w14:textId="50A2B648" w:rsidR="0018222C" w:rsidRPr="0018222C" w:rsidRDefault="0018222C" w:rsidP="0018222C">
            <w:pPr>
              <w:rPr>
                <w:rFonts w:ascii="Tahoma" w:hAnsi="Tahoma" w:cs="Tahoma"/>
                <w:b/>
                <w:bCs/>
                <w:sz w:val="20"/>
                <w:szCs w:val="20"/>
              </w:rPr>
            </w:pPr>
            <w:r w:rsidRPr="0018222C">
              <w:rPr>
                <w:rFonts w:ascii="Tahoma" w:hAnsi="Tahoma" w:cs="Tahoma"/>
                <w:color w:val="0D0D0D"/>
                <w:sz w:val="20"/>
                <w:szCs w:val="20"/>
              </w:rPr>
              <w:t>Lee, interpreta y elabora planos para comunicar la ubicación de seres vivos y objetos.</w:t>
            </w:r>
          </w:p>
        </w:tc>
        <w:tc>
          <w:tcPr>
            <w:tcW w:w="2268" w:type="dxa"/>
            <w:vAlign w:val="center"/>
          </w:tcPr>
          <w:p w14:paraId="7D01D76C" w14:textId="3359C71E" w:rsidR="0018222C" w:rsidRPr="00F40099" w:rsidRDefault="0018222C" w:rsidP="0018222C">
            <w:pPr>
              <w:jc w:val="center"/>
              <w:rPr>
                <w:rFonts w:ascii="Tahoma" w:hAnsi="Tahoma" w:cs="Tahoma"/>
                <w:b/>
                <w:bCs/>
                <w:sz w:val="20"/>
                <w:szCs w:val="20"/>
              </w:rPr>
            </w:pPr>
            <w:r>
              <w:rPr>
                <w:rFonts w:ascii="Tahoma" w:hAnsi="Tahoma" w:cs="Tahoma"/>
                <w:b/>
                <w:bCs/>
                <w:sz w:val="20"/>
                <w:szCs w:val="20"/>
              </w:rPr>
              <w:t>Semana # 4</w:t>
            </w:r>
          </w:p>
        </w:tc>
      </w:tr>
    </w:tbl>
    <w:p w14:paraId="526C74D7" w14:textId="77777777" w:rsidR="00EC19DE" w:rsidRPr="00A55FC4" w:rsidRDefault="00EC19DE" w:rsidP="00EC19DE">
      <w:pPr>
        <w:spacing w:after="0" w:line="240" w:lineRule="auto"/>
      </w:pPr>
    </w:p>
    <w:sectPr w:rsidR="00EC19DE" w:rsidRPr="00A55FC4" w:rsidSect="004E5CD3">
      <w:headerReference w:type="default" r:id="rId7"/>
      <w:footerReference w:type="default" r:id="rId8"/>
      <w:pgSz w:w="15840" w:h="12240" w:orient="landscape" w:code="1"/>
      <w:pgMar w:top="851" w:right="851" w:bottom="85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5DB1D" w14:textId="77777777" w:rsidR="005F0AEE" w:rsidRDefault="005F0AEE" w:rsidP="006517DB">
      <w:pPr>
        <w:spacing w:after="0" w:line="240" w:lineRule="auto"/>
      </w:pPr>
      <w:r>
        <w:separator/>
      </w:r>
    </w:p>
  </w:endnote>
  <w:endnote w:type="continuationSeparator" w:id="0">
    <w:p w14:paraId="6BE71244" w14:textId="77777777" w:rsidR="005F0AEE" w:rsidRDefault="005F0AEE" w:rsidP="006517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oogle Sans">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B39C4" w14:textId="0AF3A9AA" w:rsidR="006517DB" w:rsidRDefault="006517DB">
    <w:pPr>
      <w:pStyle w:val="Piedepgina"/>
    </w:pPr>
    <w:r>
      <w:rPr>
        <w:noProof/>
        <w:lang w:eastAsia="es-MX"/>
      </w:rPr>
      <mc:AlternateContent>
        <mc:Choice Requires="wps">
          <w:drawing>
            <wp:anchor distT="0" distB="0" distL="114300" distR="114300" simplePos="0" relativeHeight="251663360" behindDoc="0" locked="0" layoutInCell="1" allowOverlap="1" wp14:anchorId="40C0A2A5" wp14:editId="112B0CC3">
              <wp:simplePos x="0" y="0"/>
              <wp:positionH relativeFrom="margin">
                <wp:posOffset>10963275</wp:posOffset>
              </wp:positionH>
              <wp:positionV relativeFrom="bottomMargin">
                <wp:align>top</wp:align>
              </wp:positionV>
              <wp:extent cx="762000" cy="895350"/>
              <wp:effectExtent l="0" t="0" r="0" b="0"/>
              <wp:wrapNone/>
              <wp:docPr id="1247324596"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noFill/>
                      <a:ln>
                        <a:noFill/>
                      </a:ln>
                    </wps:spPr>
                    <wps:txbx>
                      <w:txbxContent>
                        <w:sdt>
                          <w:sdtPr>
                            <w:rPr>
                              <w:rFonts w:asciiTheme="majorHAnsi" w:eastAsiaTheme="majorEastAsia" w:hAnsiTheme="majorHAnsi" w:cstheme="majorBidi"/>
                              <w:sz w:val="48"/>
                              <w:szCs w:val="48"/>
                            </w:rPr>
                            <w:id w:val="1709992740"/>
                          </w:sdtPr>
                          <w:sdtContent>
                            <w:sdt>
                              <w:sdtPr>
                                <w:rPr>
                                  <w:rFonts w:asciiTheme="majorHAnsi" w:eastAsiaTheme="majorEastAsia" w:hAnsiTheme="majorHAnsi" w:cstheme="majorBidi"/>
                                  <w:sz w:val="48"/>
                                  <w:szCs w:val="48"/>
                                </w:rPr>
                                <w:id w:val="-1904517296"/>
                              </w:sdtPr>
                              <w:sdtContent>
                                <w:p w14:paraId="171891BE" w14:textId="77777777" w:rsidR="006517DB" w:rsidRDefault="006517DB" w:rsidP="006517DB">
                                  <w:pPr>
                                    <w:jc w:val="center"/>
                                    <w:rPr>
                                      <w:rFonts w:asciiTheme="majorHAnsi" w:eastAsiaTheme="majorEastAsia" w:hAnsiTheme="majorHAnsi" w:cstheme="majorBidi"/>
                                      <w:sz w:val="48"/>
                                      <w:szCs w:val="48"/>
                                    </w:rPr>
                                  </w:pPr>
                                  <w:r>
                                    <w:rPr>
                                      <w:rFonts w:eastAsiaTheme="minorEastAsia" w:cs="Times New Roman"/>
                                    </w:rPr>
                                    <w:fldChar w:fldCharType="begin"/>
                                  </w:r>
                                  <w:r>
                                    <w:instrText>PAGE   \* MERGEFORMAT</w:instrText>
                                  </w:r>
                                  <w:r>
                                    <w:rPr>
                                      <w:rFonts w:eastAsiaTheme="minorEastAsia" w:cs="Times New Roman"/>
                                    </w:rPr>
                                    <w:fldChar w:fldCharType="separate"/>
                                  </w:r>
                                  <w:r w:rsidRPr="005B3392">
                                    <w:rPr>
                                      <w:rFonts w:asciiTheme="majorHAnsi" w:eastAsiaTheme="majorEastAsia" w:hAnsiTheme="majorHAnsi" w:cstheme="majorBidi"/>
                                      <w:noProof/>
                                      <w:sz w:val="48"/>
                                      <w:szCs w:val="48"/>
                                    </w:rPr>
                                    <w:t>20</w:t>
                                  </w:r>
                                  <w:r>
                                    <w:rPr>
                                      <w:rFonts w:asciiTheme="majorHAnsi" w:eastAsiaTheme="majorEastAsia" w:hAnsiTheme="majorHAnsi" w:cstheme="majorBidi"/>
                                      <w:sz w:val="48"/>
                                      <w:szCs w:val="48"/>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C0A2A5" id="Rectángulo 1" o:spid="_x0000_s1027" style="position:absolute;margin-left:863.25pt;margin-top:0;width:60pt;height:70.5pt;z-index:251663360;visibility:visible;mso-wrap-style:square;mso-width-percent:0;mso-height-percent:0;mso-wrap-distance-left:9pt;mso-wrap-distance-top:0;mso-wrap-distance-right:9pt;mso-wrap-distance-bottom:0;mso-position-horizontal:absolute;mso-position-horizontal-relative:margin;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" filled="f" stroked="f">
              <v:textbox>
                <w:txbxContent>
                  <w:sdt>
                    <w:sdtPr>
                      <w:rPr>
                        <w:rFonts w:asciiTheme="majorHAnsi" w:eastAsiaTheme="majorEastAsia" w:hAnsiTheme="majorHAnsi" w:cstheme="majorBidi"/>
                        <w:sz w:val="48"/>
                        <w:szCs w:val="48"/>
                      </w:rPr>
                      <w:id w:val="1709992740"/>
                    </w:sdtPr>
                    <w:sdtContent>
                      <w:sdt>
                        <w:sdtPr>
                          <w:rPr>
                            <w:rFonts w:asciiTheme="majorHAnsi" w:eastAsiaTheme="majorEastAsia" w:hAnsiTheme="majorHAnsi" w:cstheme="majorBidi"/>
                            <w:sz w:val="48"/>
                            <w:szCs w:val="48"/>
                          </w:rPr>
                          <w:id w:val="-1904517296"/>
                        </w:sdtPr>
                        <w:sdtContent>
                          <w:p w14:paraId="171891BE" w14:textId="77777777" w:rsidR="006517DB" w:rsidRDefault="006517DB" w:rsidP="006517DB">
                            <w:pPr>
                              <w:jc w:val="center"/>
                              <w:rPr>
                                <w:rFonts w:asciiTheme="majorHAnsi" w:eastAsiaTheme="majorEastAsia" w:hAnsiTheme="majorHAnsi" w:cstheme="majorBidi"/>
                                <w:sz w:val="48"/>
                                <w:szCs w:val="48"/>
                              </w:rPr>
                            </w:pPr>
                            <w:r>
                              <w:rPr>
                                <w:rFonts w:eastAsiaTheme="minorEastAsia" w:cs="Times New Roman"/>
                              </w:rPr>
                              <w:fldChar w:fldCharType="begin"/>
                            </w:r>
                            <w:r>
                              <w:instrText>PAGE   \* MERGEFORMAT</w:instrText>
                            </w:r>
                            <w:r>
                              <w:rPr>
                                <w:rFonts w:eastAsiaTheme="minorEastAsia" w:cs="Times New Roman"/>
                              </w:rPr>
                              <w:fldChar w:fldCharType="separate"/>
                            </w:r>
                            <w:r w:rsidRPr="005B3392">
                              <w:rPr>
                                <w:rFonts w:asciiTheme="majorHAnsi" w:eastAsiaTheme="majorEastAsia" w:hAnsiTheme="majorHAnsi" w:cstheme="majorBidi"/>
                                <w:noProof/>
                                <w:sz w:val="48"/>
                                <w:szCs w:val="48"/>
                              </w:rPr>
                              <w:t>20</w:t>
                            </w:r>
                            <w:r>
                              <w:rPr>
                                <w:rFonts w:asciiTheme="majorHAnsi" w:eastAsiaTheme="majorEastAsia" w:hAnsiTheme="majorHAnsi" w:cstheme="majorBidi"/>
                                <w:sz w:val="48"/>
                                <w:szCs w:val="48"/>
                              </w:rPr>
                              <w:fldChar w:fldCharType="end"/>
                            </w:r>
                          </w:p>
                        </w:sdtContent>
                      </w:sdt>
                    </w:sdtContent>
                  </w:sdt>
                </w:txbxContent>
              </v:textbox>
              <w10:wrap anchorx="margin" anchory="margin"/>
            </v:rect>
          </w:pict>
        </mc:Fallback>
      </mc:AlternateContent>
    </w:r>
    <w:r>
      <w:rPr>
        <w:noProof/>
        <w:lang w:eastAsia="es-MX"/>
      </w:rPr>
      <mc:AlternateContent>
        <mc:Choice Requires="wps">
          <w:drawing>
            <wp:anchor distT="0" distB="0" distL="114300" distR="114300" simplePos="0" relativeHeight="251661312" behindDoc="0" locked="0" layoutInCell="1" allowOverlap="1" wp14:anchorId="01AB4D9C" wp14:editId="710F1EC2">
              <wp:simplePos x="0" y="0"/>
              <wp:positionH relativeFrom="margin">
                <wp:posOffset>-533400</wp:posOffset>
              </wp:positionH>
              <wp:positionV relativeFrom="paragraph">
                <wp:posOffset>19050</wp:posOffset>
              </wp:positionV>
              <wp:extent cx="10044000" cy="396240"/>
              <wp:effectExtent l="19050" t="19050" r="33655" b="60960"/>
              <wp:wrapNone/>
              <wp:docPr id="392907956"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4000" cy="396240"/>
                      </a:xfrm>
                      <a:prstGeom prst="rect">
                        <a:avLst/>
                      </a:prstGeom>
                      <a:solidFill>
                        <a:schemeClr val="accent1">
                          <a:lumMod val="20000"/>
                          <a:lumOff val="80000"/>
                        </a:schemeClr>
                      </a:solidFill>
                      <a:ln w="38100">
                        <a:solidFill>
                          <a:schemeClr val="accent1">
                            <a:lumMod val="60000"/>
                            <a:lumOff val="40000"/>
                          </a:schemeClr>
                        </a:solidFill>
                        <a:miter lim="800000"/>
                        <a:headEnd/>
                        <a:tailEnd/>
                      </a:ln>
                      <a:effectLst>
                        <a:outerShdw dist="28398" dir="3806097" algn="ctr" rotWithShape="0">
                          <a:srgbClr val="205867">
                            <a:alpha val="50000"/>
                          </a:srgbClr>
                        </a:outerShdw>
                      </a:effectLst>
                    </wps:spPr>
                    <wps:txbx>
                      <w:txbxContent>
                        <w:p w14:paraId="2F956AB0" w14:textId="6B2AF2EA" w:rsidR="006517DB" w:rsidRPr="00006527" w:rsidRDefault="006517DB" w:rsidP="006517DB">
                          <w:pPr>
                            <w:jc w:val="center"/>
                            <w:rPr>
                              <w:b/>
                              <w:sz w:val="36"/>
                              <w:szCs w:val="36"/>
                            </w:rPr>
                          </w:pPr>
                          <w:r w:rsidRPr="006517DB">
                            <w:rPr>
                              <w:b/>
                              <w:sz w:val="36"/>
                              <w:szCs w:val="36"/>
                            </w:rPr>
                            <w:t>www.lainitas.com.mx</w:t>
                          </w:r>
                          <w:r>
                            <w:rPr>
                              <w:b/>
                              <w:sz w:val="36"/>
                              <w:szCs w:val="36"/>
                            </w:rPr>
                            <w:t xml:space="preserve">               Lainitas Primaria                202</w:t>
                          </w:r>
                          <w:r w:rsidR="00DA0E61">
                            <w:rPr>
                              <w:b/>
                              <w:sz w:val="36"/>
                              <w:szCs w:val="36"/>
                            </w:rPr>
                            <w:t>6</w:t>
                          </w:r>
                          <w:r>
                            <w:rPr>
                              <w:b/>
                              <w:sz w:val="36"/>
                              <w:szCs w:val="36"/>
                            </w:rPr>
                            <w:t>-202</w:t>
                          </w:r>
                          <w:r w:rsidR="00DA0E61">
                            <w:rPr>
                              <w:b/>
                              <w:sz w:val="36"/>
                              <w:szCs w:val="36"/>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AB4D9C" id="_x0000_s1028" style="position:absolute;margin-left:-42pt;margin-top:1.5pt;width:790.85pt;height:31.2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" fillcolor="#d9e2f3 [660]" strokecolor="#8eaadb [1940]" strokeweight="3pt">
              <v:shadow on="t" color="#205867" opacity=".5" offset="1pt"/>
              <v:textbox>
                <w:txbxContent>
                  <w:p w14:paraId="2F956AB0" w14:textId="6B2AF2EA" w:rsidR="006517DB" w:rsidRPr="00006527" w:rsidRDefault="006517DB" w:rsidP="006517DB">
                    <w:pPr>
                      <w:jc w:val="center"/>
                      <w:rPr>
                        <w:b/>
                        <w:sz w:val="36"/>
                        <w:szCs w:val="36"/>
                      </w:rPr>
                    </w:pPr>
                    <w:r w:rsidRPr="006517DB">
                      <w:rPr>
                        <w:b/>
                        <w:sz w:val="36"/>
                        <w:szCs w:val="36"/>
                      </w:rPr>
                      <w:t>www.lainitas.com.mx</w:t>
                    </w:r>
                    <w:r>
                      <w:rPr>
                        <w:b/>
                        <w:sz w:val="36"/>
                        <w:szCs w:val="36"/>
                      </w:rPr>
                      <w:t xml:space="preserve">               Lainitas Primaria                202</w:t>
                    </w:r>
                    <w:r w:rsidR="00DA0E61">
                      <w:rPr>
                        <w:b/>
                        <w:sz w:val="36"/>
                        <w:szCs w:val="36"/>
                      </w:rPr>
                      <w:t>6</w:t>
                    </w:r>
                    <w:r>
                      <w:rPr>
                        <w:b/>
                        <w:sz w:val="36"/>
                        <w:szCs w:val="36"/>
                      </w:rPr>
                      <w:t>-202</w:t>
                    </w:r>
                    <w:r w:rsidR="00DA0E61">
                      <w:rPr>
                        <w:b/>
                        <w:sz w:val="36"/>
                        <w:szCs w:val="36"/>
                      </w:rPr>
                      <w:t>7</w:t>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8B7BC" w14:textId="77777777" w:rsidR="005F0AEE" w:rsidRDefault="005F0AEE" w:rsidP="006517DB">
      <w:pPr>
        <w:spacing w:after="0" w:line="240" w:lineRule="auto"/>
      </w:pPr>
      <w:r>
        <w:separator/>
      </w:r>
    </w:p>
  </w:footnote>
  <w:footnote w:type="continuationSeparator" w:id="0">
    <w:p w14:paraId="6BE02DB3" w14:textId="77777777" w:rsidR="005F0AEE" w:rsidRDefault="005F0AEE" w:rsidP="006517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9EA5D" w14:textId="171A20EF" w:rsidR="006517DB" w:rsidRDefault="006517DB">
    <w:pPr>
      <w:pStyle w:val="Encabezado"/>
    </w:pPr>
    <w:r>
      <w:rPr>
        <w:noProof/>
        <w:lang w:eastAsia="es-MX"/>
      </w:rPr>
      <mc:AlternateContent>
        <mc:Choice Requires="wps">
          <w:drawing>
            <wp:anchor distT="0" distB="0" distL="114300" distR="114300" simplePos="0" relativeHeight="251659264" behindDoc="0" locked="0" layoutInCell="1" allowOverlap="1" wp14:anchorId="606E2041" wp14:editId="416DAEA6">
              <wp:simplePos x="0" y="0"/>
              <wp:positionH relativeFrom="page">
                <wp:posOffset>0</wp:posOffset>
              </wp:positionH>
              <wp:positionV relativeFrom="paragraph">
                <wp:posOffset>-285750</wp:posOffset>
              </wp:positionV>
              <wp:extent cx="10044000" cy="396240"/>
              <wp:effectExtent l="19050" t="19050" r="33655" b="60960"/>
              <wp:wrapNone/>
              <wp:docPr id="2"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4000" cy="396240"/>
                      </a:xfrm>
                      <a:prstGeom prst="rect">
                        <a:avLst/>
                      </a:prstGeom>
                      <a:solidFill>
                        <a:schemeClr val="accent1">
                          <a:lumMod val="20000"/>
                          <a:lumOff val="80000"/>
                        </a:schemeClr>
                      </a:solidFill>
                      <a:ln w="38100">
                        <a:solidFill>
                          <a:schemeClr val="accent1">
                            <a:lumMod val="60000"/>
                            <a:lumOff val="40000"/>
                          </a:schemeClr>
                        </a:solidFill>
                        <a:miter lim="800000"/>
                        <a:headEnd/>
                        <a:tailEnd/>
                      </a:ln>
                      <a:effectLst>
                        <a:outerShdw dist="28398" dir="3806097" algn="ctr" rotWithShape="0">
                          <a:srgbClr val="205867">
                            <a:alpha val="50000"/>
                          </a:srgbClr>
                        </a:outerShdw>
                      </a:effectLst>
                    </wps:spPr>
                    <wps:txbx>
                      <w:txbxContent>
                        <w:p w14:paraId="0912B245" w14:textId="080B7A74" w:rsidR="006517DB" w:rsidRPr="00006527" w:rsidRDefault="008F0FD1" w:rsidP="006517DB">
                          <w:pPr>
                            <w:jc w:val="center"/>
                            <w:rPr>
                              <w:b/>
                              <w:sz w:val="36"/>
                              <w:szCs w:val="36"/>
                            </w:rPr>
                          </w:pPr>
                          <w:r>
                            <w:rPr>
                              <w:b/>
                              <w:sz w:val="36"/>
                              <w:szCs w:val="36"/>
                            </w:rPr>
                            <w:t>6to</w:t>
                          </w:r>
                          <w:r w:rsidR="006517DB">
                            <w:rPr>
                              <w:b/>
                              <w:sz w:val="36"/>
                              <w:szCs w:val="36"/>
                            </w:rPr>
                            <w:t xml:space="preserve"> Grado – </w:t>
                          </w:r>
                          <w:r w:rsidR="00195C78">
                            <w:rPr>
                              <w:b/>
                              <w:sz w:val="36"/>
                              <w:szCs w:val="36"/>
                            </w:rPr>
                            <w:t xml:space="preserve">Dosificación </w:t>
                          </w:r>
                          <w:r w:rsidR="00946F57">
                            <w:rPr>
                              <w:b/>
                              <w:sz w:val="36"/>
                              <w:szCs w:val="36"/>
                            </w:rPr>
                            <w:t>Mensual</w:t>
                          </w:r>
                          <w:r w:rsidR="00195C78">
                            <w:rPr>
                              <w:b/>
                              <w:sz w:val="36"/>
                              <w:szCs w:val="36"/>
                            </w:rPr>
                            <w:t xml:space="preserve"> de Contenidos y PDA</w:t>
                          </w:r>
                          <w:r w:rsidR="006517DB">
                            <w:rPr>
                              <w:b/>
                              <w:sz w:val="36"/>
                              <w:szCs w:val="36"/>
                            </w:rPr>
                            <w:t xml:space="preserve">             Lainitas Primaria       202</w:t>
                          </w:r>
                          <w:r w:rsidR="00DA0E61">
                            <w:rPr>
                              <w:b/>
                              <w:sz w:val="36"/>
                              <w:szCs w:val="36"/>
                            </w:rPr>
                            <w:t>6</w:t>
                          </w:r>
                          <w:r w:rsidR="006517DB">
                            <w:rPr>
                              <w:b/>
                              <w:sz w:val="36"/>
                              <w:szCs w:val="36"/>
                            </w:rPr>
                            <w:t>-202</w:t>
                          </w:r>
                          <w:r w:rsidR="00DA0E61">
                            <w:rPr>
                              <w:b/>
                              <w:sz w:val="36"/>
                              <w:szCs w:val="36"/>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6E2041" id="Rectángulo 3" o:spid="_x0000_s1026" style="position:absolute;margin-left:0;margin-top:-22.5pt;width:790.85pt;height:31.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" fillcolor="#d9e2f3 [660]" strokecolor="#8eaadb [1940]" strokeweight="3pt">
              <v:shadow on="t" color="#205867" opacity=".5" offset="1pt"/>
              <v:textbox>
                <w:txbxContent>
                  <w:p w14:paraId="0912B245" w14:textId="080B7A74" w:rsidR="006517DB" w:rsidRPr="00006527" w:rsidRDefault="008F0FD1" w:rsidP="006517DB">
                    <w:pPr>
                      <w:jc w:val="center"/>
                      <w:rPr>
                        <w:b/>
                        <w:sz w:val="36"/>
                        <w:szCs w:val="36"/>
                      </w:rPr>
                    </w:pPr>
                    <w:r>
                      <w:rPr>
                        <w:b/>
                        <w:sz w:val="36"/>
                        <w:szCs w:val="36"/>
                      </w:rPr>
                      <w:t>6to</w:t>
                    </w:r>
                    <w:r w:rsidR="006517DB">
                      <w:rPr>
                        <w:b/>
                        <w:sz w:val="36"/>
                        <w:szCs w:val="36"/>
                      </w:rPr>
                      <w:t xml:space="preserve"> Grado – </w:t>
                    </w:r>
                    <w:r w:rsidR="00195C78">
                      <w:rPr>
                        <w:b/>
                        <w:sz w:val="36"/>
                        <w:szCs w:val="36"/>
                      </w:rPr>
                      <w:t xml:space="preserve">Dosificación </w:t>
                    </w:r>
                    <w:r w:rsidR="00946F57">
                      <w:rPr>
                        <w:b/>
                        <w:sz w:val="36"/>
                        <w:szCs w:val="36"/>
                      </w:rPr>
                      <w:t>Mensual</w:t>
                    </w:r>
                    <w:r w:rsidR="00195C78">
                      <w:rPr>
                        <w:b/>
                        <w:sz w:val="36"/>
                        <w:szCs w:val="36"/>
                      </w:rPr>
                      <w:t xml:space="preserve"> de Contenidos y PDA</w:t>
                    </w:r>
                    <w:r w:rsidR="006517DB">
                      <w:rPr>
                        <w:b/>
                        <w:sz w:val="36"/>
                        <w:szCs w:val="36"/>
                      </w:rPr>
                      <w:t xml:space="preserve">             Lainitas Primaria       202</w:t>
                    </w:r>
                    <w:r w:rsidR="00DA0E61">
                      <w:rPr>
                        <w:b/>
                        <w:sz w:val="36"/>
                        <w:szCs w:val="36"/>
                      </w:rPr>
                      <w:t>6</w:t>
                    </w:r>
                    <w:r w:rsidR="006517DB">
                      <w:rPr>
                        <w:b/>
                        <w:sz w:val="36"/>
                        <w:szCs w:val="36"/>
                      </w:rPr>
                      <w:t>-202</w:t>
                    </w:r>
                    <w:r w:rsidR="00DA0E61">
                      <w:rPr>
                        <w:b/>
                        <w:sz w:val="36"/>
                        <w:szCs w:val="36"/>
                      </w:rPr>
                      <w:t>7</w:t>
                    </w:r>
                  </w:p>
                </w:txbxContent>
              </v:textbox>
              <w10:wrap anchorx="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2B4"/>
    <w:rsid w:val="00002CBD"/>
    <w:rsid w:val="000056A7"/>
    <w:rsid w:val="000079ED"/>
    <w:rsid w:val="00007D0C"/>
    <w:rsid w:val="00017685"/>
    <w:rsid w:val="00022E1E"/>
    <w:rsid w:val="00026A87"/>
    <w:rsid w:val="00026AAB"/>
    <w:rsid w:val="00034042"/>
    <w:rsid w:val="00036632"/>
    <w:rsid w:val="000413E6"/>
    <w:rsid w:val="00045715"/>
    <w:rsid w:val="0005753C"/>
    <w:rsid w:val="00066322"/>
    <w:rsid w:val="00067B85"/>
    <w:rsid w:val="00070FA8"/>
    <w:rsid w:val="00072449"/>
    <w:rsid w:val="000740CB"/>
    <w:rsid w:val="00077F05"/>
    <w:rsid w:val="000802F2"/>
    <w:rsid w:val="00080BB4"/>
    <w:rsid w:val="000826C3"/>
    <w:rsid w:val="0008739C"/>
    <w:rsid w:val="00094689"/>
    <w:rsid w:val="000A1D6F"/>
    <w:rsid w:val="000A41D4"/>
    <w:rsid w:val="000A636D"/>
    <w:rsid w:val="000A7C38"/>
    <w:rsid w:val="000B1C31"/>
    <w:rsid w:val="000B66CB"/>
    <w:rsid w:val="000C51CA"/>
    <w:rsid w:val="000C5691"/>
    <w:rsid w:val="000C710F"/>
    <w:rsid w:val="000D1AE7"/>
    <w:rsid w:val="000D7ECB"/>
    <w:rsid w:val="000E11B4"/>
    <w:rsid w:val="000F0E6D"/>
    <w:rsid w:val="000F4816"/>
    <w:rsid w:val="000F52CD"/>
    <w:rsid w:val="000F6611"/>
    <w:rsid w:val="000F6B3F"/>
    <w:rsid w:val="000F6EA2"/>
    <w:rsid w:val="00103897"/>
    <w:rsid w:val="00105916"/>
    <w:rsid w:val="0011427E"/>
    <w:rsid w:val="00116B6C"/>
    <w:rsid w:val="0012105A"/>
    <w:rsid w:val="00121F73"/>
    <w:rsid w:val="00122585"/>
    <w:rsid w:val="0012405C"/>
    <w:rsid w:val="0012487E"/>
    <w:rsid w:val="0012532B"/>
    <w:rsid w:val="00133824"/>
    <w:rsid w:val="00134BD8"/>
    <w:rsid w:val="00135AB7"/>
    <w:rsid w:val="00137938"/>
    <w:rsid w:val="0014140E"/>
    <w:rsid w:val="001442A8"/>
    <w:rsid w:val="00144F3C"/>
    <w:rsid w:val="00145C33"/>
    <w:rsid w:val="00146758"/>
    <w:rsid w:val="00150E5B"/>
    <w:rsid w:val="00160285"/>
    <w:rsid w:val="001636B7"/>
    <w:rsid w:val="00163B32"/>
    <w:rsid w:val="001648E0"/>
    <w:rsid w:val="00164A57"/>
    <w:rsid w:val="00167053"/>
    <w:rsid w:val="00172E8E"/>
    <w:rsid w:val="001736F5"/>
    <w:rsid w:val="00173DB3"/>
    <w:rsid w:val="0017448E"/>
    <w:rsid w:val="0017632A"/>
    <w:rsid w:val="00180413"/>
    <w:rsid w:val="00181F38"/>
    <w:rsid w:val="0018222C"/>
    <w:rsid w:val="00187579"/>
    <w:rsid w:val="00190836"/>
    <w:rsid w:val="00190F05"/>
    <w:rsid w:val="00191FFB"/>
    <w:rsid w:val="001930F5"/>
    <w:rsid w:val="001935CE"/>
    <w:rsid w:val="00194C85"/>
    <w:rsid w:val="00195081"/>
    <w:rsid w:val="00195C78"/>
    <w:rsid w:val="001A51BE"/>
    <w:rsid w:val="001A66FD"/>
    <w:rsid w:val="001B18C5"/>
    <w:rsid w:val="001B1913"/>
    <w:rsid w:val="001B3C84"/>
    <w:rsid w:val="001B4AF0"/>
    <w:rsid w:val="001C18FD"/>
    <w:rsid w:val="001C41DD"/>
    <w:rsid w:val="001D5400"/>
    <w:rsid w:val="001D68FB"/>
    <w:rsid w:val="001E0FCE"/>
    <w:rsid w:val="001E6B4E"/>
    <w:rsid w:val="001F125B"/>
    <w:rsid w:val="001F1780"/>
    <w:rsid w:val="001F1A0F"/>
    <w:rsid w:val="001F3AC6"/>
    <w:rsid w:val="001F4403"/>
    <w:rsid w:val="001F4F94"/>
    <w:rsid w:val="001F65B6"/>
    <w:rsid w:val="001F6B2A"/>
    <w:rsid w:val="002039F5"/>
    <w:rsid w:val="0020496F"/>
    <w:rsid w:val="00206A6C"/>
    <w:rsid w:val="002125FB"/>
    <w:rsid w:val="00214157"/>
    <w:rsid w:val="00217266"/>
    <w:rsid w:val="00217975"/>
    <w:rsid w:val="00224315"/>
    <w:rsid w:val="002300ED"/>
    <w:rsid w:val="0023025A"/>
    <w:rsid w:val="00230FD7"/>
    <w:rsid w:val="002314FD"/>
    <w:rsid w:val="00237061"/>
    <w:rsid w:val="002403BA"/>
    <w:rsid w:val="00240510"/>
    <w:rsid w:val="00242E80"/>
    <w:rsid w:val="00244F18"/>
    <w:rsid w:val="002472D5"/>
    <w:rsid w:val="002504C9"/>
    <w:rsid w:val="002561AB"/>
    <w:rsid w:val="00260628"/>
    <w:rsid w:val="00260817"/>
    <w:rsid w:val="00264291"/>
    <w:rsid w:val="0026561F"/>
    <w:rsid w:val="00277364"/>
    <w:rsid w:val="0027752F"/>
    <w:rsid w:val="0028566B"/>
    <w:rsid w:val="00286C3D"/>
    <w:rsid w:val="00286FFD"/>
    <w:rsid w:val="00290130"/>
    <w:rsid w:val="00293C84"/>
    <w:rsid w:val="00294110"/>
    <w:rsid w:val="0029743C"/>
    <w:rsid w:val="002A1085"/>
    <w:rsid w:val="002A3F99"/>
    <w:rsid w:val="002A4D14"/>
    <w:rsid w:val="002A5F25"/>
    <w:rsid w:val="002A6B79"/>
    <w:rsid w:val="002B0DB5"/>
    <w:rsid w:val="002B31D7"/>
    <w:rsid w:val="002B7C02"/>
    <w:rsid w:val="002C6317"/>
    <w:rsid w:val="002C742E"/>
    <w:rsid w:val="002D0512"/>
    <w:rsid w:val="002D187A"/>
    <w:rsid w:val="002D6DBF"/>
    <w:rsid w:val="002D7726"/>
    <w:rsid w:val="002E0AEC"/>
    <w:rsid w:val="002E7400"/>
    <w:rsid w:val="002F0715"/>
    <w:rsid w:val="002F11DD"/>
    <w:rsid w:val="002F1D43"/>
    <w:rsid w:val="002F23C2"/>
    <w:rsid w:val="002F44F6"/>
    <w:rsid w:val="002F6B83"/>
    <w:rsid w:val="00300AAD"/>
    <w:rsid w:val="003015A9"/>
    <w:rsid w:val="00301C79"/>
    <w:rsid w:val="00305967"/>
    <w:rsid w:val="00312398"/>
    <w:rsid w:val="0031332A"/>
    <w:rsid w:val="0031532C"/>
    <w:rsid w:val="003205AF"/>
    <w:rsid w:val="00323262"/>
    <w:rsid w:val="00323C68"/>
    <w:rsid w:val="00331682"/>
    <w:rsid w:val="00332F97"/>
    <w:rsid w:val="00340B45"/>
    <w:rsid w:val="00340C84"/>
    <w:rsid w:val="0034406B"/>
    <w:rsid w:val="00345D96"/>
    <w:rsid w:val="00350AEE"/>
    <w:rsid w:val="003514A7"/>
    <w:rsid w:val="003525C9"/>
    <w:rsid w:val="0035328F"/>
    <w:rsid w:val="00356504"/>
    <w:rsid w:val="00357BA6"/>
    <w:rsid w:val="003604DE"/>
    <w:rsid w:val="00361039"/>
    <w:rsid w:val="00362AC8"/>
    <w:rsid w:val="003674D5"/>
    <w:rsid w:val="003724A1"/>
    <w:rsid w:val="00372F03"/>
    <w:rsid w:val="0037368E"/>
    <w:rsid w:val="00377C00"/>
    <w:rsid w:val="003870E2"/>
    <w:rsid w:val="003925FC"/>
    <w:rsid w:val="00396C6C"/>
    <w:rsid w:val="00397EF0"/>
    <w:rsid w:val="003A10C9"/>
    <w:rsid w:val="003A33A5"/>
    <w:rsid w:val="003A3AD9"/>
    <w:rsid w:val="003A3B1B"/>
    <w:rsid w:val="003A4B33"/>
    <w:rsid w:val="003B6D86"/>
    <w:rsid w:val="003C06C8"/>
    <w:rsid w:val="003C2F8E"/>
    <w:rsid w:val="003C4B7D"/>
    <w:rsid w:val="003E083F"/>
    <w:rsid w:val="003E4F47"/>
    <w:rsid w:val="003E5A90"/>
    <w:rsid w:val="003E60B7"/>
    <w:rsid w:val="003F0252"/>
    <w:rsid w:val="003F1F44"/>
    <w:rsid w:val="003F3975"/>
    <w:rsid w:val="003F5477"/>
    <w:rsid w:val="003F6283"/>
    <w:rsid w:val="00404E1D"/>
    <w:rsid w:val="00410A4F"/>
    <w:rsid w:val="00411DDA"/>
    <w:rsid w:val="00415317"/>
    <w:rsid w:val="00415F94"/>
    <w:rsid w:val="00416BBD"/>
    <w:rsid w:val="004175EF"/>
    <w:rsid w:val="00421CB5"/>
    <w:rsid w:val="00421DE8"/>
    <w:rsid w:val="0042241C"/>
    <w:rsid w:val="00431D6B"/>
    <w:rsid w:val="00431D9D"/>
    <w:rsid w:val="00434381"/>
    <w:rsid w:val="00434724"/>
    <w:rsid w:val="0043501A"/>
    <w:rsid w:val="00436EF2"/>
    <w:rsid w:val="00441390"/>
    <w:rsid w:val="00446900"/>
    <w:rsid w:val="0045076F"/>
    <w:rsid w:val="0045312A"/>
    <w:rsid w:val="00454F3E"/>
    <w:rsid w:val="00456DD8"/>
    <w:rsid w:val="00460206"/>
    <w:rsid w:val="00460B60"/>
    <w:rsid w:val="00460F2E"/>
    <w:rsid w:val="00463B1C"/>
    <w:rsid w:val="004660BD"/>
    <w:rsid w:val="00470638"/>
    <w:rsid w:val="00471F51"/>
    <w:rsid w:val="0047305A"/>
    <w:rsid w:val="00473A67"/>
    <w:rsid w:val="00474727"/>
    <w:rsid w:val="00485C46"/>
    <w:rsid w:val="00486795"/>
    <w:rsid w:val="00486810"/>
    <w:rsid w:val="00487098"/>
    <w:rsid w:val="00487F60"/>
    <w:rsid w:val="0049336C"/>
    <w:rsid w:val="00496BDA"/>
    <w:rsid w:val="004A2D1B"/>
    <w:rsid w:val="004A3578"/>
    <w:rsid w:val="004A6AEF"/>
    <w:rsid w:val="004B381E"/>
    <w:rsid w:val="004C2268"/>
    <w:rsid w:val="004D49A7"/>
    <w:rsid w:val="004E299D"/>
    <w:rsid w:val="004E5CD3"/>
    <w:rsid w:val="004F0D59"/>
    <w:rsid w:val="005006EE"/>
    <w:rsid w:val="005019DB"/>
    <w:rsid w:val="005020A3"/>
    <w:rsid w:val="00502ED7"/>
    <w:rsid w:val="005038E0"/>
    <w:rsid w:val="0051092F"/>
    <w:rsid w:val="00511A3A"/>
    <w:rsid w:val="00522932"/>
    <w:rsid w:val="00525BD4"/>
    <w:rsid w:val="00526BFE"/>
    <w:rsid w:val="00534E91"/>
    <w:rsid w:val="0054024A"/>
    <w:rsid w:val="00546C79"/>
    <w:rsid w:val="00547F31"/>
    <w:rsid w:val="005528B0"/>
    <w:rsid w:val="00557C49"/>
    <w:rsid w:val="00560F44"/>
    <w:rsid w:val="00561426"/>
    <w:rsid w:val="00564BE2"/>
    <w:rsid w:val="00574DB5"/>
    <w:rsid w:val="00575605"/>
    <w:rsid w:val="00581B1B"/>
    <w:rsid w:val="0058502C"/>
    <w:rsid w:val="005852D2"/>
    <w:rsid w:val="00590D3F"/>
    <w:rsid w:val="005927D7"/>
    <w:rsid w:val="00594EC7"/>
    <w:rsid w:val="005971C4"/>
    <w:rsid w:val="005A063D"/>
    <w:rsid w:val="005A4F7A"/>
    <w:rsid w:val="005A6167"/>
    <w:rsid w:val="005A7132"/>
    <w:rsid w:val="005A7786"/>
    <w:rsid w:val="005B0CD4"/>
    <w:rsid w:val="005B0E01"/>
    <w:rsid w:val="005B2240"/>
    <w:rsid w:val="005B44C6"/>
    <w:rsid w:val="005C23FE"/>
    <w:rsid w:val="005C248E"/>
    <w:rsid w:val="005C2A85"/>
    <w:rsid w:val="005C31F4"/>
    <w:rsid w:val="005C40B9"/>
    <w:rsid w:val="005C4FA2"/>
    <w:rsid w:val="005C7AC9"/>
    <w:rsid w:val="005E15F2"/>
    <w:rsid w:val="005E22BD"/>
    <w:rsid w:val="005E59B5"/>
    <w:rsid w:val="005F0AEE"/>
    <w:rsid w:val="005F2B77"/>
    <w:rsid w:val="005F4FB9"/>
    <w:rsid w:val="005F63ED"/>
    <w:rsid w:val="005F7421"/>
    <w:rsid w:val="00601D26"/>
    <w:rsid w:val="006056D3"/>
    <w:rsid w:val="00607A49"/>
    <w:rsid w:val="00610A1F"/>
    <w:rsid w:val="00610F7C"/>
    <w:rsid w:val="00611B8A"/>
    <w:rsid w:val="00611C8E"/>
    <w:rsid w:val="00612C84"/>
    <w:rsid w:val="00613C49"/>
    <w:rsid w:val="00617C8E"/>
    <w:rsid w:val="006248C9"/>
    <w:rsid w:val="00627F9C"/>
    <w:rsid w:val="006334BE"/>
    <w:rsid w:val="00642811"/>
    <w:rsid w:val="00642D35"/>
    <w:rsid w:val="006517DB"/>
    <w:rsid w:val="00667F45"/>
    <w:rsid w:val="00671BA8"/>
    <w:rsid w:val="00675A94"/>
    <w:rsid w:val="00681E3F"/>
    <w:rsid w:val="00694FE4"/>
    <w:rsid w:val="006A006A"/>
    <w:rsid w:val="006A1FB5"/>
    <w:rsid w:val="006A4528"/>
    <w:rsid w:val="006A7727"/>
    <w:rsid w:val="006B08B8"/>
    <w:rsid w:val="006B1BBE"/>
    <w:rsid w:val="006B5F42"/>
    <w:rsid w:val="006B7E39"/>
    <w:rsid w:val="006C5054"/>
    <w:rsid w:val="006C5CF1"/>
    <w:rsid w:val="006D272A"/>
    <w:rsid w:val="006D6FD9"/>
    <w:rsid w:val="006E2C73"/>
    <w:rsid w:val="006E4CE3"/>
    <w:rsid w:val="006E4F6C"/>
    <w:rsid w:val="006F1120"/>
    <w:rsid w:val="006F1ADE"/>
    <w:rsid w:val="006F68F6"/>
    <w:rsid w:val="006F74DC"/>
    <w:rsid w:val="007036F9"/>
    <w:rsid w:val="00704D16"/>
    <w:rsid w:val="007071B1"/>
    <w:rsid w:val="0071279E"/>
    <w:rsid w:val="00716C2A"/>
    <w:rsid w:val="00724534"/>
    <w:rsid w:val="00724784"/>
    <w:rsid w:val="00726DBD"/>
    <w:rsid w:val="00731CCB"/>
    <w:rsid w:val="00732A36"/>
    <w:rsid w:val="00733D56"/>
    <w:rsid w:val="007354DA"/>
    <w:rsid w:val="0073712F"/>
    <w:rsid w:val="00737672"/>
    <w:rsid w:val="00740C29"/>
    <w:rsid w:val="00744FBC"/>
    <w:rsid w:val="00747650"/>
    <w:rsid w:val="00753219"/>
    <w:rsid w:val="007559E7"/>
    <w:rsid w:val="00757A43"/>
    <w:rsid w:val="00762972"/>
    <w:rsid w:val="00770823"/>
    <w:rsid w:val="007746AF"/>
    <w:rsid w:val="00774EDC"/>
    <w:rsid w:val="00775425"/>
    <w:rsid w:val="00780EE2"/>
    <w:rsid w:val="00787806"/>
    <w:rsid w:val="00797947"/>
    <w:rsid w:val="007A0213"/>
    <w:rsid w:val="007A2D31"/>
    <w:rsid w:val="007A47FF"/>
    <w:rsid w:val="007A5BB2"/>
    <w:rsid w:val="007B0A68"/>
    <w:rsid w:val="007B133C"/>
    <w:rsid w:val="007B5935"/>
    <w:rsid w:val="007C17D6"/>
    <w:rsid w:val="007C63C8"/>
    <w:rsid w:val="007C6417"/>
    <w:rsid w:val="007D1AB5"/>
    <w:rsid w:val="007D36BE"/>
    <w:rsid w:val="007D537A"/>
    <w:rsid w:val="007D70DC"/>
    <w:rsid w:val="007D725E"/>
    <w:rsid w:val="007D7BF1"/>
    <w:rsid w:val="007F0CF9"/>
    <w:rsid w:val="007F0EF8"/>
    <w:rsid w:val="007F0FDF"/>
    <w:rsid w:val="007F589D"/>
    <w:rsid w:val="008019E9"/>
    <w:rsid w:val="00804427"/>
    <w:rsid w:val="0081219F"/>
    <w:rsid w:val="008126CA"/>
    <w:rsid w:val="00813C2F"/>
    <w:rsid w:val="00820481"/>
    <w:rsid w:val="00821192"/>
    <w:rsid w:val="00825CF8"/>
    <w:rsid w:val="00835529"/>
    <w:rsid w:val="00835E3A"/>
    <w:rsid w:val="008372B4"/>
    <w:rsid w:val="00843B3F"/>
    <w:rsid w:val="00844AE4"/>
    <w:rsid w:val="0085434A"/>
    <w:rsid w:val="00855B20"/>
    <w:rsid w:val="00856784"/>
    <w:rsid w:val="00862339"/>
    <w:rsid w:val="008625DE"/>
    <w:rsid w:val="00870DFA"/>
    <w:rsid w:val="0087710C"/>
    <w:rsid w:val="00882B49"/>
    <w:rsid w:val="00882BB7"/>
    <w:rsid w:val="0088462B"/>
    <w:rsid w:val="0089034E"/>
    <w:rsid w:val="00891EA6"/>
    <w:rsid w:val="00893A9F"/>
    <w:rsid w:val="00894590"/>
    <w:rsid w:val="008A31AB"/>
    <w:rsid w:val="008B3F3F"/>
    <w:rsid w:val="008B4715"/>
    <w:rsid w:val="008B5A3A"/>
    <w:rsid w:val="008B645E"/>
    <w:rsid w:val="008B7A13"/>
    <w:rsid w:val="008C5E85"/>
    <w:rsid w:val="008C655B"/>
    <w:rsid w:val="008D1BF1"/>
    <w:rsid w:val="008E0748"/>
    <w:rsid w:val="008E5E89"/>
    <w:rsid w:val="008F0B33"/>
    <w:rsid w:val="008F0FD1"/>
    <w:rsid w:val="008F1E01"/>
    <w:rsid w:val="0090060F"/>
    <w:rsid w:val="009030BA"/>
    <w:rsid w:val="0090346C"/>
    <w:rsid w:val="0091417B"/>
    <w:rsid w:val="00914E1D"/>
    <w:rsid w:val="0091565B"/>
    <w:rsid w:val="00915DD0"/>
    <w:rsid w:val="009168D0"/>
    <w:rsid w:val="009259D8"/>
    <w:rsid w:val="00927286"/>
    <w:rsid w:val="00935294"/>
    <w:rsid w:val="00940FA1"/>
    <w:rsid w:val="00946421"/>
    <w:rsid w:val="00946F57"/>
    <w:rsid w:val="009473AE"/>
    <w:rsid w:val="0095064A"/>
    <w:rsid w:val="00952EF2"/>
    <w:rsid w:val="00957BC9"/>
    <w:rsid w:val="009600B1"/>
    <w:rsid w:val="00961A62"/>
    <w:rsid w:val="009628F8"/>
    <w:rsid w:val="00965778"/>
    <w:rsid w:val="00970AAB"/>
    <w:rsid w:val="00972407"/>
    <w:rsid w:val="00972694"/>
    <w:rsid w:val="00973E5E"/>
    <w:rsid w:val="009744A5"/>
    <w:rsid w:val="00976F45"/>
    <w:rsid w:val="00987088"/>
    <w:rsid w:val="0099216A"/>
    <w:rsid w:val="009936C6"/>
    <w:rsid w:val="009A3794"/>
    <w:rsid w:val="009A44D8"/>
    <w:rsid w:val="009A63E8"/>
    <w:rsid w:val="009A6D91"/>
    <w:rsid w:val="009B2A7B"/>
    <w:rsid w:val="009B591F"/>
    <w:rsid w:val="009B5A58"/>
    <w:rsid w:val="009B7505"/>
    <w:rsid w:val="009C1E86"/>
    <w:rsid w:val="009C29CA"/>
    <w:rsid w:val="009C6C06"/>
    <w:rsid w:val="009D178A"/>
    <w:rsid w:val="009D4649"/>
    <w:rsid w:val="009D4BF4"/>
    <w:rsid w:val="009D538E"/>
    <w:rsid w:val="009D63CB"/>
    <w:rsid w:val="009E0A88"/>
    <w:rsid w:val="009E5ACB"/>
    <w:rsid w:val="009E6C45"/>
    <w:rsid w:val="009F36D5"/>
    <w:rsid w:val="009F5553"/>
    <w:rsid w:val="009F693C"/>
    <w:rsid w:val="00A01710"/>
    <w:rsid w:val="00A0237A"/>
    <w:rsid w:val="00A057CF"/>
    <w:rsid w:val="00A109C7"/>
    <w:rsid w:val="00A11919"/>
    <w:rsid w:val="00A228FA"/>
    <w:rsid w:val="00A41853"/>
    <w:rsid w:val="00A4275B"/>
    <w:rsid w:val="00A42CE8"/>
    <w:rsid w:val="00A430C7"/>
    <w:rsid w:val="00A53B48"/>
    <w:rsid w:val="00A55FC4"/>
    <w:rsid w:val="00A56698"/>
    <w:rsid w:val="00A633DE"/>
    <w:rsid w:val="00A6558D"/>
    <w:rsid w:val="00A67590"/>
    <w:rsid w:val="00A75C0D"/>
    <w:rsid w:val="00A76786"/>
    <w:rsid w:val="00A907C2"/>
    <w:rsid w:val="00A95581"/>
    <w:rsid w:val="00AA2C43"/>
    <w:rsid w:val="00AA6D48"/>
    <w:rsid w:val="00AA7E71"/>
    <w:rsid w:val="00AB453B"/>
    <w:rsid w:val="00AC30F4"/>
    <w:rsid w:val="00AD075E"/>
    <w:rsid w:val="00AD1090"/>
    <w:rsid w:val="00AD1A73"/>
    <w:rsid w:val="00AD3AA2"/>
    <w:rsid w:val="00AD4F76"/>
    <w:rsid w:val="00AD5494"/>
    <w:rsid w:val="00AE36A7"/>
    <w:rsid w:val="00AE3866"/>
    <w:rsid w:val="00AF0DE2"/>
    <w:rsid w:val="00AF419A"/>
    <w:rsid w:val="00AF5AF4"/>
    <w:rsid w:val="00AF656E"/>
    <w:rsid w:val="00AF6BE4"/>
    <w:rsid w:val="00B10963"/>
    <w:rsid w:val="00B12938"/>
    <w:rsid w:val="00B13182"/>
    <w:rsid w:val="00B15FC4"/>
    <w:rsid w:val="00B24C13"/>
    <w:rsid w:val="00B32D21"/>
    <w:rsid w:val="00B339FB"/>
    <w:rsid w:val="00B466B5"/>
    <w:rsid w:val="00B466CC"/>
    <w:rsid w:val="00B47B2E"/>
    <w:rsid w:val="00B56FBF"/>
    <w:rsid w:val="00B604F5"/>
    <w:rsid w:val="00B64651"/>
    <w:rsid w:val="00B64B22"/>
    <w:rsid w:val="00B75BD5"/>
    <w:rsid w:val="00B854A0"/>
    <w:rsid w:val="00B94D8B"/>
    <w:rsid w:val="00B94F05"/>
    <w:rsid w:val="00B95AF6"/>
    <w:rsid w:val="00BA2B37"/>
    <w:rsid w:val="00BA6670"/>
    <w:rsid w:val="00BA7695"/>
    <w:rsid w:val="00BB32A8"/>
    <w:rsid w:val="00BC1C35"/>
    <w:rsid w:val="00BC28A5"/>
    <w:rsid w:val="00BC4101"/>
    <w:rsid w:val="00BC426A"/>
    <w:rsid w:val="00BC42CC"/>
    <w:rsid w:val="00BC65B0"/>
    <w:rsid w:val="00BD4A57"/>
    <w:rsid w:val="00BD5A51"/>
    <w:rsid w:val="00BD6BB0"/>
    <w:rsid w:val="00BE004F"/>
    <w:rsid w:val="00BE01A1"/>
    <w:rsid w:val="00BE0E67"/>
    <w:rsid w:val="00BE14D2"/>
    <w:rsid w:val="00BF1A0D"/>
    <w:rsid w:val="00BF5936"/>
    <w:rsid w:val="00BF62AF"/>
    <w:rsid w:val="00BF684F"/>
    <w:rsid w:val="00C027EE"/>
    <w:rsid w:val="00C1240D"/>
    <w:rsid w:val="00C129A5"/>
    <w:rsid w:val="00C12F20"/>
    <w:rsid w:val="00C25513"/>
    <w:rsid w:val="00C27549"/>
    <w:rsid w:val="00C369A2"/>
    <w:rsid w:val="00C3793B"/>
    <w:rsid w:val="00C415F8"/>
    <w:rsid w:val="00C462BD"/>
    <w:rsid w:val="00C46E99"/>
    <w:rsid w:val="00C47AD5"/>
    <w:rsid w:val="00C5034C"/>
    <w:rsid w:val="00C53195"/>
    <w:rsid w:val="00C53EB6"/>
    <w:rsid w:val="00C60F24"/>
    <w:rsid w:val="00C625C5"/>
    <w:rsid w:val="00C66757"/>
    <w:rsid w:val="00C67F7D"/>
    <w:rsid w:val="00C709EE"/>
    <w:rsid w:val="00C7139B"/>
    <w:rsid w:val="00C7272D"/>
    <w:rsid w:val="00C731EB"/>
    <w:rsid w:val="00C75D93"/>
    <w:rsid w:val="00C775A4"/>
    <w:rsid w:val="00C808CE"/>
    <w:rsid w:val="00C81D87"/>
    <w:rsid w:val="00C833C8"/>
    <w:rsid w:val="00C932E6"/>
    <w:rsid w:val="00C95871"/>
    <w:rsid w:val="00CB1368"/>
    <w:rsid w:val="00CB45F0"/>
    <w:rsid w:val="00CC36C7"/>
    <w:rsid w:val="00CC4928"/>
    <w:rsid w:val="00CC5009"/>
    <w:rsid w:val="00CD10FF"/>
    <w:rsid w:val="00CD2B5E"/>
    <w:rsid w:val="00CE4242"/>
    <w:rsid w:val="00CE437C"/>
    <w:rsid w:val="00CF2480"/>
    <w:rsid w:val="00CF7A11"/>
    <w:rsid w:val="00D0360C"/>
    <w:rsid w:val="00D03BC3"/>
    <w:rsid w:val="00D079F5"/>
    <w:rsid w:val="00D140FB"/>
    <w:rsid w:val="00D2059F"/>
    <w:rsid w:val="00D2402E"/>
    <w:rsid w:val="00D275BE"/>
    <w:rsid w:val="00D35BAA"/>
    <w:rsid w:val="00D369F6"/>
    <w:rsid w:val="00D4010D"/>
    <w:rsid w:val="00D42133"/>
    <w:rsid w:val="00D43F60"/>
    <w:rsid w:val="00D47667"/>
    <w:rsid w:val="00D55461"/>
    <w:rsid w:val="00D635CA"/>
    <w:rsid w:val="00D65931"/>
    <w:rsid w:val="00D73397"/>
    <w:rsid w:val="00D73E55"/>
    <w:rsid w:val="00D74905"/>
    <w:rsid w:val="00D752F0"/>
    <w:rsid w:val="00D75927"/>
    <w:rsid w:val="00D81FFF"/>
    <w:rsid w:val="00DA0E61"/>
    <w:rsid w:val="00DA29BE"/>
    <w:rsid w:val="00DA49C0"/>
    <w:rsid w:val="00DA6BBC"/>
    <w:rsid w:val="00DB4E48"/>
    <w:rsid w:val="00DB6420"/>
    <w:rsid w:val="00DB7338"/>
    <w:rsid w:val="00DC443C"/>
    <w:rsid w:val="00DC5DF0"/>
    <w:rsid w:val="00DD52EB"/>
    <w:rsid w:val="00DD6046"/>
    <w:rsid w:val="00DE0E5F"/>
    <w:rsid w:val="00DE1A34"/>
    <w:rsid w:val="00DF0664"/>
    <w:rsid w:val="00DF0A95"/>
    <w:rsid w:val="00E1217F"/>
    <w:rsid w:val="00E131E4"/>
    <w:rsid w:val="00E166E9"/>
    <w:rsid w:val="00E2064E"/>
    <w:rsid w:val="00E216AA"/>
    <w:rsid w:val="00E22407"/>
    <w:rsid w:val="00E224AC"/>
    <w:rsid w:val="00E23410"/>
    <w:rsid w:val="00E24AA4"/>
    <w:rsid w:val="00E264E0"/>
    <w:rsid w:val="00E27B46"/>
    <w:rsid w:val="00E30266"/>
    <w:rsid w:val="00E3276F"/>
    <w:rsid w:val="00E32D4B"/>
    <w:rsid w:val="00E41C09"/>
    <w:rsid w:val="00E420CB"/>
    <w:rsid w:val="00E437FC"/>
    <w:rsid w:val="00E50798"/>
    <w:rsid w:val="00E50E33"/>
    <w:rsid w:val="00E56E58"/>
    <w:rsid w:val="00E664C2"/>
    <w:rsid w:val="00E70D7F"/>
    <w:rsid w:val="00E71D36"/>
    <w:rsid w:val="00E74EFB"/>
    <w:rsid w:val="00E7560D"/>
    <w:rsid w:val="00E8567E"/>
    <w:rsid w:val="00E858EB"/>
    <w:rsid w:val="00E9216E"/>
    <w:rsid w:val="00E92619"/>
    <w:rsid w:val="00E94887"/>
    <w:rsid w:val="00E950A7"/>
    <w:rsid w:val="00E95515"/>
    <w:rsid w:val="00EA0B7C"/>
    <w:rsid w:val="00EB075A"/>
    <w:rsid w:val="00EB1A9C"/>
    <w:rsid w:val="00EB2368"/>
    <w:rsid w:val="00EB62B6"/>
    <w:rsid w:val="00EB72CC"/>
    <w:rsid w:val="00EC0CC3"/>
    <w:rsid w:val="00EC19DE"/>
    <w:rsid w:val="00ED4552"/>
    <w:rsid w:val="00ED6FBD"/>
    <w:rsid w:val="00ED740B"/>
    <w:rsid w:val="00EE0192"/>
    <w:rsid w:val="00EE4630"/>
    <w:rsid w:val="00EE47EC"/>
    <w:rsid w:val="00EE4E41"/>
    <w:rsid w:val="00EE7718"/>
    <w:rsid w:val="00EF111F"/>
    <w:rsid w:val="00EF639E"/>
    <w:rsid w:val="00EF6BCD"/>
    <w:rsid w:val="00F01B0D"/>
    <w:rsid w:val="00F10AF0"/>
    <w:rsid w:val="00F11F5F"/>
    <w:rsid w:val="00F135AB"/>
    <w:rsid w:val="00F1594F"/>
    <w:rsid w:val="00F16868"/>
    <w:rsid w:val="00F21BC9"/>
    <w:rsid w:val="00F22DBA"/>
    <w:rsid w:val="00F26EC9"/>
    <w:rsid w:val="00F27502"/>
    <w:rsid w:val="00F30512"/>
    <w:rsid w:val="00F313E4"/>
    <w:rsid w:val="00F35D93"/>
    <w:rsid w:val="00F40099"/>
    <w:rsid w:val="00F42F9E"/>
    <w:rsid w:val="00F474C5"/>
    <w:rsid w:val="00F538D2"/>
    <w:rsid w:val="00F5478E"/>
    <w:rsid w:val="00F551A8"/>
    <w:rsid w:val="00F65512"/>
    <w:rsid w:val="00F709CA"/>
    <w:rsid w:val="00F72FBB"/>
    <w:rsid w:val="00F73F9B"/>
    <w:rsid w:val="00F73FC0"/>
    <w:rsid w:val="00F77B1F"/>
    <w:rsid w:val="00F846D9"/>
    <w:rsid w:val="00F913CB"/>
    <w:rsid w:val="00FB194F"/>
    <w:rsid w:val="00FB5B0F"/>
    <w:rsid w:val="00FC108C"/>
    <w:rsid w:val="00FC4245"/>
    <w:rsid w:val="00FC5419"/>
    <w:rsid w:val="00FD13C0"/>
    <w:rsid w:val="00FD46A6"/>
    <w:rsid w:val="00FD4734"/>
    <w:rsid w:val="00FD52B6"/>
    <w:rsid w:val="00FD621C"/>
    <w:rsid w:val="00FE6AEC"/>
    <w:rsid w:val="00FF48F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6DBB1D"/>
  <w15:chartTrackingRefBased/>
  <w15:docId w15:val="{5812B78C-B311-4974-96CF-AAB0E552F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41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BF62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6517D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517DB"/>
  </w:style>
  <w:style w:type="paragraph" w:styleId="Piedepgina">
    <w:name w:val="footer"/>
    <w:basedOn w:val="Normal"/>
    <w:link w:val="PiedepginaCar"/>
    <w:uiPriority w:val="99"/>
    <w:unhideWhenUsed/>
    <w:rsid w:val="006517D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517DB"/>
  </w:style>
  <w:style w:type="character" w:styleId="Hipervnculo">
    <w:name w:val="Hyperlink"/>
    <w:basedOn w:val="Fuentedeprrafopredeter"/>
    <w:uiPriority w:val="99"/>
    <w:unhideWhenUsed/>
    <w:rsid w:val="006517DB"/>
    <w:rPr>
      <w:color w:val="0563C1" w:themeColor="hyperlink"/>
      <w:u w:val="single"/>
    </w:rPr>
  </w:style>
  <w:style w:type="character" w:styleId="Mencinsinresolver">
    <w:name w:val="Unresolved Mention"/>
    <w:basedOn w:val="Fuentedeprrafopredeter"/>
    <w:uiPriority w:val="99"/>
    <w:semiHidden/>
    <w:unhideWhenUsed/>
    <w:rsid w:val="00651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54F5EA-3EC8-4175-9EEA-3810A8317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1088</Words>
  <Characters>5848</Characters>
  <Application>Microsoft Office Word</Application>
  <DocSecurity>0</DocSecurity>
  <Lines>344</Lines>
  <Paragraphs>154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Lainitas Primaria</dc:creator>
  <cp:keywords/>
  <dc:description/>
  <cp:lastModifiedBy>Lainitas Primaria y Preescolar</cp:lastModifiedBy>
  <cp:revision>12</cp:revision>
  <dcterms:created xsi:type="dcterms:W3CDTF">2026-07-09T04:31:00Z</dcterms:created>
  <dcterms:modified xsi:type="dcterms:W3CDTF">2026-09-21T03:35:00Z</dcterms:modified>
</cp:coreProperties>
</file>